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8"/>
        <w:jc w:val="center"/>
        <w:rPr>
          <w:rFonts w:ascii="黑体" w:hAnsi="黑体" w:eastAsia="黑体"/>
          <w:b/>
          <w:kern w:val="2"/>
          <w:sz w:val="36"/>
        </w:rPr>
      </w:pPr>
      <w:r>
        <w:rPr>
          <w:rFonts w:hint="eastAsia" w:ascii="黑体" w:hAnsi="黑体" w:eastAsia="黑体"/>
          <w:b/>
          <w:kern w:val="2"/>
          <w:sz w:val="36"/>
        </w:rPr>
        <w:t>南银理财珠联璧合日日聚鑫现金管理类</w:t>
      </w:r>
    </w:p>
    <w:p>
      <w:pPr>
        <w:pStyle w:val="8"/>
        <w:jc w:val="center"/>
        <w:rPr>
          <w:rFonts w:ascii="黑体" w:hAnsi="黑体" w:eastAsia="黑体"/>
          <w:b/>
          <w:kern w:val="2"/>
          <w:sz w:val="36"/>
        </w:rPr>
      </w:pPr>
      <w:r>
        <w:rPr>
          <w:rFonts w:hint="eastAsia" w:ascii="黑体" w:hAnsi="黑体" w:eastAsia="黑体"/>
          <w:b/>
          <w:kern w:val="2"/>
          <w:sz w:val="36"/>
        </w:rPr>
        <w:t>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南银理财珠联璧合日日聚鑫现金管理类公募人民币理财产品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Z7003220000008（投资者可依据该编码在中国理财网www.chinawealth.com.cn查询理财产品相关信息）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2019年09月11日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34,815,173,673.33份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100.03%</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rPr>
            </w:pPr>
            <w:r>
              <w:t>34,815,173,673.33</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rPr>
            </w:pPr>
            <w:r>
              <w:rPr>
                <w:rFonts w:hint="eastAsia"/>
              </w:rPr>
              <w:t>1.0000</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rPr>
            </w:pPr>
            <w:r>
              <w:rPr>
                <w:rFonts w:hint="eastAsia"/>
                <w:color w:val="000000"/>
              </w:rPr>
              <w:t>1.0000</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spacing w:line="360" w:lineRule="auto"/>
        <w:ind w:firstLine="480" w:firstLineChars="200"/>
        <w:rPr>
          <w:rFonts w:asciiTheme="minorEastAsia" w:hAnsiTheme="minorEastAsia" w:eastAsiaTheme="minorEastAsia"/>
          <w:sz w:val="24"/>
          <w:szCs w:val="24"/>
        </w:rPr>
      </w:pPr>
      <w:bookmarkStart w:id="0" w:name="_Hlk62552736"/>
      <w:r>
        <w:rPr>
          <w:rFonts w:hint="eastAsia" w:asciiTheme="minorEastAsia" w:hAnsiTheme="minorEastAsia" w:eastAsiaTheme="minor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bookmarkEnd w:id="0"/>
    <w:p>
      <w:pPr>
        <w:spacing w:line="360" w:lineRule="auto"/>
        <w:ind w:firstLine="480" w:firstLineChars="200"/>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000000" w:themeColor="text1"/>
          <w:sz w:val="24"/>
          <w:szCs w:val="24"/>
        </w:rPr>
        <w:t>操作方面，产品以短融、同业存单和利率债为主要配置资产，同时精选相对价值较高的资产支持证券增厚底仓收益，在四季度保持了较低的剩余期限和杠杆率。总体来看，产品在四季度保持了较好的流动性和较稳定的收益率。未来将继续以坚持流动性，兼顾收益性的目标进行操作，在保证流动性安全、信用风险可控的基础上做好资产配置。</w:t>
      </w:r>
    </w:p>
    <w:p>
      <w:pPr>
        <w:pStyle w:val="8"/>
        <w:rPr>
          <w:b/>
          <w:color w:val="000000"/>
        </w:rPr>
      </w:pPr>
      <w:r>
        <w:rPr>
          <w:rFonts w:hint="eastAsia"/>
          <w:b/>
          <w:color w:val="000000"/>
        </w:rPr>
        <w:t>3.2 报告期内产品的流动性风险分析</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2020年市场流动性整体充裕。为保障流动性安全，本产品提前做好资金储备，平稳度过各流动性关键时点。目前央行高频投放资金表达呵护市场的态度，短期市场流动性预计整体宽松。中期需关注资金面边际收紧的风险。本产品将继续保持稳健的投资风格，主动控制久期，灵活运用杠杆，关注节点资金波动情况，做好流动性预判和资产到期分布安排，防范流动性风险。</w:t>
      </w:r>
    </w:p>
    <w:p>
      <w:pPr>
        <w:pStyle w:val="8"/>
        <w:rPr>
          <w:color w:val="000000"/>
          <w:highlight w:val="none"/>
        </w:rPr>
      </w:pPr>
      <w:r>
        <w:rPr>
          <w:rFonts w:hint="eastAsia"/>
          <w:b/>
          <w:color w:val="000000"/>
          <w:highlight w:val="none"/>
        </w:rPr>
        <w:t>3</w:t>
      </w:r>
      <w:r>
        <w:rPr>
          <w:b/>
          <w:color w:val="000000"/>
          <w:highlight w:val="none"/>
        </w:rPr>
        <w:t>.</w:t>
      </w:r>
      <w:r>
        <w:rPr>
          <w:rFonts w:hint="eastAsia"/>
          <w:b/>
          <w:color w:val="000000"/>
          <w:highlight w:val="none"/>
        </w:rPr>
        <w:t>3</w:t>
      </w:r>
      <w:r>
        <w:rPr>
          <w:b/>
          <w:color w:val="000000"/>
          <w:highlight w:val="none"/>
        </w:rPr>
        <w:t xml:space="preserve"> 报告期内</w:t>
      </w:r>
      <w:r>
        <w:rPr>
          <w:rFonts w:hint="eastAsia"/>
          <w:b/>
          <w:color w:val="000000"/>
          <w:highlight w:val="none"/>
        </w:rPr>
        <w:t>产品</w:t>
      </w:r>
      <w:r>
        <w:rPr>
          <w:b/>
          <w:color w:val="000000"/>
          <w:highlight w:val="none"/>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ascii="宋体" w:hAnsi="宋体" w:cs="宋体"/>
          <w:color w:val="000000"/>
          <w:kern w:val="0"/>
          <w:sz w:val="24"/>
          <w:szCs w:val="24"/>
          <w:highlight w:val="none"/>
        </w:rPr>
      </w:pPr>
      <w:r>
        <w:rPr>
          <w:rFonts w:hint="eastAsia" w:ascii="宋体" w:cs="宋体"/>
          <w:color w:val="000000"/>
          <w:kern w:val="0"/>
          <w:sz w:val="24"/>
          <w:szCs w:val="24"/>
          <w:highlight w:val="none"/>
        </w:rPr>
        <w:t>金额</w:t>
      </w:r>
      <w:r>
        <w:rPr>
          <w:rFonts w:ascii="宋体" w:cs="宋体"/>
          <w:color w:val="000000"/>
          <w:kern w:val="0"/>
          <w:sz w:val="24"/>
          <w:szCs w:val="24"/>
          <w:highlight w:val="none"/>
        </w:rPr>
        <w:t>单位</w:t>
      </w:r>
      <w:r>
        <w:rPr>
          <w:rFonts w:hint="eastAsia" w:ascii="宋体" w:cs="宋体"/>
          <w:color w:val="000000"/>
          <w:kern w:val="0"/>
          <w:sz w:val="24"/>
          <w:szCs w:val="24"/>
          <w:highlight w:val="none"/>
        </w:rPr>
        <w:t>：人民币元</w:t>
      </w:r>
    </w:p>
    <w:tbl>
      <w:tblPr>
        <w:tblStyle w:val="32"/>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701"/>
        <w:gridCol w:w="1955"/>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rPr>
                <w:rFonts w:hint="default" w:ascii="宋体" w:hAnsi="宋体" w:eastAsia="宋体"/>
                <w:b w:val="0"/>
                <w:color w:val="000000"/>
                <w:kern w:val="0"/>
                <w:szCs w:val="20"/>
                <w:highlight w:val="none"/>
              </w:rPr>
            </w:pPr>
            <w:r>
              <w:rPr>
                <w:rFonts w:hint="eastAsia" w:ascii="宋体" w:hAnsi="宋体" w:eastAsia="宋体"/>
                <w:b w:val="0"/>
                <w:color w:val="000000"/>
                <w:kern w:val="0"/>
                <w:szCs w:val="20"/>
                <w:highlight w:val="none"/>
              </w:rPr>
              <w:t>销售代码</w:t>
            </w:r>
          </w:p>
        </w:tc>
        <w:tc>
          <w:tcPr>
            <w:tcW w:w="5075" w:type="dxa"/>
            <w:gridSpan w:val="3"/>
            <w:shd w:val="clear" w:color="auto" w:fill="auto"/>
            <w:vAlign w:val="center"/>
          </w:tcPr>
          <w:p>
            <w:pPr>
              <w:spacing w:line="288" w:lineRule="auto"/>
              <w:jc w:val="center"/>
              <w:rPr>
                <w:rFonts w:hint="default" w:ascii="宋体" w:hAnsi="宋体" w:eastAsia="宋体"/>
                <w:b w:val="0"/>
                <w:color w:val="000000"/>
                <w:kern w:val="0"/>
                <w:szCs w:val="20"/>
                <w:highlight w:val="none"/>
              </w:rPr>
            </w:pPr>
            <w:r>
              <w:rPr>
                <w:rFonts w:hint="eastAsia" w:ascii="宋体" w:hAnsi="宋体" w:eastAsia="宋体" w:cs="宋体"/>
                <w:b w:val="0"/>
                <w:color w:val="000000"/>
                <w:szCs w:val="20"/>
                <w:highlight w:val="none"/>
              </w:rPr>
              <w:t>时点指标：报告期末</w:t>
            </w:r>
          </w:p>
        </w:tc>
        <w:tc>
          <w:tcPr>
            <w:tcW w:w="2155" w:type="dxa"/>
            <w:shd w:val="clear" w:color="auto" w:fill="auto"/>
            <w:vAlign w:val="center"/>
          </w:tcPr>
          <w:p>
            <w:pPr>
              <w:spacing w:line="288" w:lineRule="auto"/>
              <w:jc w:val="center"/>
              <w:rPr>
                <w:rFonts w:hint="default" w:ascii="宋体" w:hAnsi="宋体" w:eastAsia="宋体"/>
                <w:b w:val="0"/>
                <w:color w:val="000000"/>
                <w:szCs w:val="20"/>
                <w:highlight w:val="none"/>
              </w:rPr>
            </w:pPr>
            <w:r>
              <w:rPr>
                <w:rFonts w:hint="eastAsia" w:ascii="宋体" w:hAnsi="宋体" w:eastAsia="宋体" w:cs="宋体"/>
                <w:b w:val="0"/>
                <w:color w:val="000000"/>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3"/>
              <w:rPr>
                <w:rFonts w:hint="default" w:ascii="宋体" w:hAnsi="宋体" w:eastAsia="宋体"/>
                <w:b w:val="0"/>
                <w:color w:val="000000"/>
                <w:kern w:val="2"/>
                <w:highlight w:val="none"/>
              </w:rPr>
            </w:pPr>
          </w:p>
        </w:tc>
        <w:tc>
          <w:tcPr>
            <w:tcW w:w="1419"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份额净值</w:t>
            </w:r>
          </w:p>
        </w:tc>
        <w:tc>
          <w:tcPr>
            <w:tcW w:w="1701"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份额累计净值</w:t>
            </w:r>
          </w:p>
        </w:tc>
        <w:tc>
          <w:tcPr>
            <w:tcW w:w="1955"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资产净值</w:t>
            </w:r>
          </w:p>
        </w:tc>
        <w:tc>
          <w:tcPr>
            <w:tcW w:w="2155"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3"/>
              <w:rPr>
                <w:rFonts w:hint="eastAsia" w:ascii="宋体" w:hAnsi="宋体" w:eastAsia="宋体"/>
                <w:b w:val="0"/>
                <w:color w:val="000000"/>
                <w:kern w:val="2"/>
                <w:highlight w:val="none"/>
                <w:lang w:val="en-US" w:eastAsia="zh-CN"/>
              </w:rPr>
            </w:pPr>
            <w:r>
              <w:rPr>
                <w:rFonts w:hint="eastAsia" w:ascii="宋体" w:hAnsi="宋体" w:eastAsia="宋体"/>
                <w:b w:val="0"/>
                <w:color w:val="000000"/>
                <w:kern w:val="2"/>
                <w:highlight w:val="none"/>
              </w:rPr>
              <w:t>A2000</w:t>
            </w:r>
            <w:r>
              <w:rPr>
                <w:rFonts w:hint="eastAsia" w:ascii="宋体" w:hAnsi="宋体" w:eastAsia="宋体"/>
                <w:b w:val="0"/>
                <w:color w:val="000000"/>
                <w:kern w:val="2"/>
                <w:highlight w:val="none"/>
                <w:lang w:val="en-US" w:eastAsia="zh-CN"/>
              </w:rPr>
              <w:t>1</w:t>
            </w:r>
          </w:p>
        </w:tc>
        <w:tc>
          <w:tcPr>
            <w:tcW w:w="1419" w:type="dxa"/>
            <w:shd w:val="clear" w:color="auto" w:fill="auto"/>
            <w:vAlign w:val="center"/>
          </w:tcPr>
          <w:p>
            <w:pPr>
              <w:pStyle w:val="33"/>
              <w:rPr>
                <w:rFonts w:ascii="宋体" w:hAnsi="宋体" w:eastAsia="宋体"/>
                <w:color w:val="000000"/>
                <w:kern w:val="2"/>
                <w:highlight w:val="none"/>
              </w:rPr>
            </w:pPr>
            <w:r>
              <w:rPr>
                <w:rFonts w:hint="eastAsia"/>
                <w:color w:val="000000"/>
                <w:highlight w:val="none"/>
              </w:rPr>
              <w:t>1.0000</w:t>
            </w:r>
          </w:p>
        </w:tc>
        <w:tc>
          <w:tcPr>
            <w:tcW w:w="1701" w:type="dxa"/>
            <w:shd w:val="clear" w:color="auto" w:fill="auto"/>
            <w:vAlign w:val="center"/>
          </w:tcPr>
          <w:p>
            <w:pPr>
              <w:pStyle w:val="33"/>
              <w:rPr>
                <w:rFonts w:ascii="宋体" w:hAnsi="宋体" w:eastAsia="宋体"/>
                <w:color w:val="000000"/>
                <w:kern w:val="2"/>
                <w:highlight w:val="none"/>
              </w:rPr>
            </w:pPr>
            <w:r>
              <w:rPr>
                <w:rFonts w:hint="eastAsia"/>
                <w:color w:val="000000"/>
                <w:highlight w:val="none"/>
              </w:rPr>
              <w:t>1.0000</w:t>
            </w:r>
          </w:p>
        </w:tc>
        <w:tc>
          <w:tcPr>
            <w:tcW w:w="1955" w:type="dxa"/>
            <w:shd w:val="clear" w:color="auto" w:fill="auto"/>
            <w:vAlign w:val="center"/>
          </w:tcPr>
          <w:p>
            <w:pPr>
              <w:keepNext w:val="0"/>
              <w:keepLines w:val="0"/>
              <w:widowControl/>
              <w:suppressLineNumbers w:val="0"/>
              <w:spacing w:line="288" w:lineRule="auto"/>
              <w:jc w:val="righ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Times New Roman" w:hAnsi="Times New Roman" w:eastAsia="黑体" w:cs="宋体"/>
                <w:color w:val="000000"/>
                <w:kern w:val="0"/>
                <w:sz w:val="22"/>
                <w:szCs w:val="24"/>
                <w:highlight w:val="none"/>
                <w:lang w:val="en-US" w:eastAsia="zh-CN" w:bidi="ar-SA"/>
              </w:rPr>
              <w:t>34,815,173,673.33</w:t>
            </w:r>
          </w:p>
        </w:tc>
        <w:tc>
          <w:tcPr>
            <w:tcW w:w="2155" w:type="dxa"/>
            <w:shd w:val="clear" w:color="auto" w:fill="auto"/>
            <w:vAlign w:val="center"/>
          </w:tcPr>
          <w:p>
            <w:pPr>
              <w:pStyle w:val="33"/>
              <w:rPr>
                <w:rFonts w:hint="eastAsia" w:ascii="宋体" w:hAnsi="宋体" w:eastAsia="宋体"/>
                <w:color w:val="000000"/>
                <w:kern w:val="2"/>
                <w:highlight w:val="none"/>
                <w:lang w:eastAsia="zh-CN"/>
              </w:rPr>
            </w:pPr>
            <w:r>
              <w:rPr>
                <w:rFonts w:hint="eastAsia" w:ascii="宋体" w:hAnsi="宋体" w:eastAsia="宋体"/>
                <w:color w:val="000000"/>
                <w:kern w:val="2"/>
                <w:highlight w:val="none"/>
                <w:lang w:val="en-US" w:eastAsia="zh-CN"/>
              </w:rPr>
              <w:t>-</w:t>
            </w:r>
          </w:p>
        </w:tc>
      </w:tr>
    </w:tbl>
    <w:p>
      <w:pPr>
        <w:pStyle w:val="25"/>
        <w:spacing w:line="360" w:lineRule="auto"/>
        <w:ind w:firstLine="480"/>
        <w:rPr>
          <w:color w:val="000000"/>
          <w:highlight w:val="none"/>
        </w:rPr>
      </w:pPr>
    </w:p>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1" w:name="_Hlk65770268"/>
      <w:bookmarkStart w:id="2" w:name="_Hlk65766326"/>
      <w:r>
        <w:t>在托管本产品的过程中，本产品托管人南京银行股份有限公司严格遵守《商业银行理财业务监督管理办法》相关法律法规的规定以及产品说明书的约定，对本产品管理人—</w:t>
      </w:r>
      <w:r>
        <w:rPr>
          <w:rFonts w:hint="eastAsia"/>
        </w:rPr>
        <w:t>南银理财有限责任公司</w:t>
      </w:r>
      <w:r>
        <w:t>2020年01月01日至2020年12月31日产品的投资运作，进行了认真、独立的会计核算和必要的投资监督，认真履行了托管人的义务，没有从事任何损害产品份额持有人利益的行为。</w:t>
      </w:r>
      <w:bookmarkEnd w:id="1"/>
      <w:bookmarkEnd w:id="2"/>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3" w:name="_Hlk65769865"/>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4" w:name="_Hlk65769872"/>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pPr>
        <w:pStyle w:val="25"/>
        <w:spacing w:line="360" w:lineRule="auto"/>
        <w:ind w:left="0" w:leftChars="0" w:firstLine="0" w:firstLineChars="0"/>
        <w:rPr>
          <w:rFonts w:hint="eastAsia" w:eastAsia="宋体"/>
          <w:color w:val="000000"/>
          <w:lang w:val="en-US" w:eastAsia="zh-CN"/>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spacing w:before="240" w:after="72" w:line="360" w:lineRule="auto"/>
        <w:rPr>
          <w:rFonts w:hint="eastAsia" w:ascii="宋体" w:hAnsi="宋体" w:eastAsia="宋体" w:cs="宋体"/>
          <w:b/>
          <w:bCs/>
          <w:color w:val="000000"/>
          <w:kern w:val="0"/>
          <w:sz w:val="24"/>
          <w:szCs w:val="24"/>
          <w:highlight w:val="none"/>
          <w:lang w:val="en-US" w:eastAsia="zh-CN" w:bidi="ar-SA"/>
        </w:rPr>
      </w:pPr>
      <w:r>
        <w:rPr>
          <w:rFonts w:hint="eastAsia" w:ascii="宋体" w:hAnsi="宋体" w:eastAsia="宋体" w:cs="宋体"/>
          <w:b/>
          <w:bCs/>
          <w:color w:val="000000"/>
          <w:kern w:val="0"/>
          <w:sz w:val="24"/>
          <w:szCs w:val="24"/>
          <w:highlight w:val="none"/>
          <w:lang w:val="en-US" w:eastAsia="zh-CN" w:bidi="ar-SA"/>
        </w:rPr>
        <w:t>5.1 报告期末产品资产组合情况</w:t>
      </w: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9142" w:type="dxa"/>
        <w:tblInd w:w="93" w:type="dxa"/>
        <w:tblLayout w:type="fixed"/>
        <w:tblCellMar>
          <w:top w:w="0" w:type="dxa"/>
          <w:left w:w="108" w:type="dxa"/>
          <w:bottom w:w="0" w:type="dxa"/>
          <w:right w:w="108" w:type="dxa"/>
        </w:tblCellMar>
      </w:tblPr>
      <w:tblGrid>
        <w:gridCol w:w="582"/>
        <w:gridCol w:w="2098"/>
        <w:gridCol w:w="2320"/>
        <w:gridCol w:w="2132"/>
        <w:gridCol w:w="2010"/>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wordWrap w:val="0"/>
              <w:rPr>
                <w:color w:val="000000"/>
              </w:rPr>
            </w:pPr>
            <w:r>
              <w:rPr>
                <w:rFonts w:hint="eastAsia" w:hAnsi="Calibri"/>
                <w:color w:val="000000"/>
              </w:rPr>
              <w:t>序号</w:t>
            </w:r>
          </w:p>
        </w:tc>
        <w:tc>
          <w:tcPr>
            <w:tcW w:w="209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hAnsi="Calibri"/>
                <w:color w:val="000000"/>
              </w:rPr>
              <w:t>代码</w:t>
            </w:r>
          </w:p>
        </w:tc>
        <w:tc>
          <w:tcPr>
            <w:tcW w:w="232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hAnsi="Calibri"/>
                <w:color w:val="000000"/>
              </w:rPr>
              <w:t>名称</w:t>
            </w:r>
          </w:p>
        </w:tc>
        <w:tc>
          <w:tcPr>
            <w:tcW w:w="2132"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hAnsi="Calibri"/>
                <w:color w:val="000000"/>
              </w:rPr>
              <w:t>公允价值(元)</w:t>
            </w:r>
          </w:p>
        </w:tc>
        <w:tc>
          <w:tcPr>
            <w:tcW w:w="201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hAnsi="Calibri"/>
                <w:color w:val="000000"/>
              </w:rPr>
              <w:t>占理财产品资产净值比例（％）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hAnsi="Calibri"/>
                <w:color w:val="000000"/>
              </w:rPr>
              <w:t>1</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170206</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17国开06</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793,658,448.95</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2.28%</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hAnsi="Calibri"/>
                <w:color w:val="000000"/>
              </w:rPr>
              <w:t>2</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160206</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16国开06</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700,311,727.32</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hAnsi="Calibri"/>
                <w:color w:val="000000"/>
              </w:rPr>
              <w:t>3</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169515</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弘花05A</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500,000,000.00</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1.44%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hAnsi="Calibri"/>
                <w:color w:val="000000"/>
              </w:rPr>
              <w:t>4</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112008218</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20中信银行CD218</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497,040,638.40</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1.43%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hAnsi="Calibri"/>
                <w:color w:val="000000"/>
              </w:rPr>
              <w:t>5</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pPr>
            <w:r>
              <w:rPr>
                <w:rFonts w:hint="eastAsia"/>
              </w:rPr>
              <w:t>190202</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19国开02</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452,291,825.75</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pPr>
            <w:r>
              <w:rPr>
                <w:rFonts w:hint="eastAsia"/>
              </w:rPr>
              <w:t>1.30%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rFonts w:hAnsi="Calibri"/>
                <w:color w:val="000000"/>
              </w:rPr>
            </w:pPr>
            <w:r>
              <w:rPr>
                <w:rFonts w:hint="eastAsia" w:hAnsi="Calibri"/>
                <w:color w:val="000000"/>
              </w:rPr>
              <w:t>6</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rPr>
                <w:rFonts w:hAnsi="Calibri"/>
                <w:color w:val="000000"/>
              </w:rPr>
            </w:pPr>
            <w:r>
              <w:rPr>
                <w:rFonts w:hint="eastAsia"/>
              </w:rPr>
              <w:t>190303</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19进出03</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402,194,913.15</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1.16%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rFonts w:hAnsi="Calibri"/>
                <w:color w:val="000000"/>
              </w:rPr>
            </w:pPr>
            <w:r>
              <w:rPr>
                <w:rFonts w:hint="eastAsia" w:hAnsi="Calibri"/>
                <w:color w:val="000000"/>
              </w:rPr>
              <w:t>7</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rPr>
                <w:rFonts w:hAnsi="Calibri"/>
                <w:color w:val="000000"/>
              </w:rPr>
            </w:pPr>
            <w:r>
              <w:rPr>
                <w:rFonts w:hint="eastAsia"/>
              </w:rPr>
              <w:t>112005101</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20建设银行CD101</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398,127,592.60</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1.14%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rFonts w:hAnsi="Calibri"/>
                <w:color w:val="000000"/>
              </w:rPr>
            </w:pPr>
            <w:r>
              <w:rPr>
                <w:rFonts w:hint="eastAsia" w:hAnsi="Calibri"/>
                <w:color w:val="000000"/>
              </w:rPr>
              <w:t>8</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rPr>
                <w:rFonts w:hAnsi="Calibri"/>
                <w:color w:val="000000"/>
              </w:rPr>
            </w:pPr>
            <w:r>
              <w:rPr>
                <w:rFonts w:hint="eastAsia"/>
              </w:rPr>
              <w:t>101800254</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18江北产投MTN002</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311,319,554.55</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0.89%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rFonts w:hAnsi="Calibri"/>
                <w:color w:val="000000"/>
              </w:rPr>
            </w:pPr>
            <w:r>
              <w:rPr>
                <w:rFonts w:hint="eastAsia" w:hAnsi="Calibri"/>
                <w:color w:val="000000"/>
              </w:rPr>
              <w:t>9</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rPr>
                <w:rFonts w:hAnsi="Calibri"/>
                <w:color w:val="000000"/>
              </w:rPr>
            </w:pPr>
            <w:r>
              <w:rPr>
                <w:rFonts w:hint="eastAsia"/>
              </w:rPr>
              <w:t>160421</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16农发21</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300,929,098.40</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0.86%</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rFonts w:hAnsi="Calibri"/>
                <w:color w:val="000000"/>
              </w:rPr>
            </w:pPr>
            <w:r>
              <w:rPr>
                <w:rFonts w:hint="eastAsia" w:hAnsi="Calibri"/>
                <w:color w:val="000000"/>
              </w:rPr>
              <w:t>10</w:t>
            </w:r>
          </w:p>
        </w:tc>
        <w:tc>
          <w:tcPr>
            <w:tcW w:w="2098" w:type="dxa"/>
            <w:tcBorders>
              <w:top w:val="single" w:color="000000" w:sz="8" w:space="0"/>
              <w:left w:val="nil"/>
              <w:bottom w:val="single" w:color="000000" w:sz="8" w:space="0"/>
              <w:right w:val="single" w:color="000000" w:sz="8" w:space="0"/>
            </w:tcBorders>
            <w:shd w:val="clear" w:color="auto" w:fill="auto"/>
            <w:vAlign w:val="center"/>
          </w:tcPr>
          <w:p>
            <w:pPr>
              <w:pStyle w:val="22"/>
              <w:wordWrap w:val="0"/>
              <w:jc w:val="center"/>
              <w:rPr>
                <w:rFonts w:hAnsi="Calibri"/>
                <w:color w:val="000000"/>
              </w:rPr>
            </w:pPr>
            <w:r>
              <w:rPr>
                <w:rFonts w:hint="eastAsia"/>
              </w:rPr>
              <w:t>169288</w:t>
            </w:r>
          </w:p>
        </w:tc>
        <w:tc>
          <w:tcPr>
            <w:tcW w:w="232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东花15A1</w:t>
            </w:r>
          </w:p>
        </w:tc>
        <w:tc>
          <w:tcPr>
            <w:tcW w:w="2132"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300,002,557.32</w:t>
            </w:r>
          </w:p>
        </w:tc>
        <w:tc>
          <w:tcPr>
            <w:tcW w:w="2010" w:type="dxa"/>
            <w:tcBorders>
              <w:top w:val="single" w:color="000000" w:sz="8" w:space="0"/>
              <w:left w:val="nil"/>
              <w:bottom w:val="single" w:color="000000" w:sz="8" w:space="0"/>
              <w:right w:val="single" w:color="000000" w:sz="8" w:space="0"/>
            </w:tcBorders>
            <w:shd w:val="clear" w:color="000000" w:fill="FFFFFF"/>
            <w:vAlign w:val="center"/>
          </w:tcPr>
          <w:p>
            <w:pPr>
              <w:pStyle w:val="22"/>
              <w:wordWrap w:val="0"/>
              <w:jc w:val="center"/>
              <w:rPr>
                <w:rFonts w:hAnsi="Calibri"/>
                <w:color w:val="000000"/>
              </w:rPr>
            </w:pPr>
            <w:r>
              <w:rPr>
                <w:rFonts w:hint="eastAsia"/>
              </w:rPr>
              <w:t>0.86%</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9138" w:type="dxa"/>
        <w:tblInd w:w="108" w:type="dxa"/>
        <w:tblLayout w:type="fixed"/>
        <w:tblCellMar>
          <w:top w:w="0" w:type="dxa"/>
          <w:left w:w="108" w:type="dxa"/>
          <w:bottom w:w="0" w:type="dxa"/>
          <w:right w:w="108" w:type="dxa"/>
        </w:tblCellMar>
      </w:tblPr>
      <w:tblGrid>
        <w:gridCol w:w="685"/>
        <w:gridCol w:w="1408"/>
        <w:gridCol w:w="1409"/>
        <w:gridCol w:w="1409"/>
        <w:gridCol w:w="1409"/>
        <w:gridCol w:w="1409"/>
        <w:gridCol w:w="1409"/>
      </w:tblGrid>
      <w:tr>
        <w:tblPrEx>
          <w:tblLayout w:type="fixed"/>
          <w:tblCellMar>
            <w:top w:w="0" w:type="dxa"/>
            <w:left w:w="108" w:type="dxa"/>
            <w:bottom w:w="0" w:type="dxa"/>
            <w:right w:w="108" w:type="dxa"/>
          </w:tblCellMar>
        </w:tblPrEx>
        <w:trPr>
          <w:trHeight w:val="705" w:hRule="atLeast"/>
        </w:trPr>
        <w:tc>
          <w:tcPr>
            <w:tcW w:w="685" w:type="dxa"/>
            <w:tcBorders>
              <w:top w:val="single" w:color="000000" w:sz="8" w:space="0"/>
              <w:left w:val="single" w:color="000000" w:sz="8" w:space="0"/>
              <w:bottom w:val="single" w:color="000000" w:sz="6" w:space="0"/>
              <w:right w:val="single" w:color="000000" w:sz="8" w:space="0"/>
            </w:tcBorders>
            <w:vAlign w:val="center"/>
          </w:tcPr>
          <w:p>
            <w:pPr>
              <w:pStyle w:val="23"/>
              <w:rPr>
                <w:shd w:val="clear" w:color="auto" w:fill="FFFFFF"/>
              </w:rPr>
            </w:pPr>
            <w:r>
              <w:rPr>
                <w:rFonts w:hint="eastAsia" w:hAnsi="Calibri"/>
                <w:shd w:val="clear" w:color="auto" w:fill="FFFFFF"/>
              </w:rPr>
              <w:t>序号</w:t>
            </w:r>
          </w:p>
        </w:tc>
        <w:tc>
          <w:tcPr>
            <w:tcW w:w="1408"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4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4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4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14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rPr>
          <w:trHeight w:val="364" w:hRule="atLeast"/>
        </w:trPr>
        <w:tc>
          <w:tcPr>
            <w:tcW w:w="685"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hAnsi="Calibri"/>
                <w:shd w:val="clear" w:color="auto" w:fill="FFFFFF"/>
              </w:rPr>
              <w:t>-</w:t>
            </w:r>
          </w:p>
        </w:tc>
        <w:tc>
          <w:tcPr>
            <w:tcW w:w="1408"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09"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shd w:val="clear" w:color="auto" w:fill="FFFFFF"/>
              </w:rPr>
              <w:t>-</w:t>
            </w:r>
          </w:p>
        </w:tc>
        <w:tc>
          <w:tcPr>
            <w:tcW w:w="1409"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shd w:val="clear" w:color="auto" w:fill="FFFFFF"/>
              </w:rPr>
              <w:t>-</w:t>
            </w:r>
          </w:p>
        </w:tc>
        <w:tc>
          <w:tcPr>
            <w:tcW w:w="1409"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shd w:val="clear" w:color="auto" w:fill="FFFFFF"/>
              </w:rPr>
              <w:t>-</w:t>
            </w:r>
          </w:p>
        </w:tc>
        <w:tc>
          <w:tcPr>
            <w:tcW w:w="1409"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shd w:val="clear" w:color="auto" w:fill="FFFFFF"/>
              </w:rPr>
              <w:t>-</w:t>
            </w:r>
          </w:p>
        </w:tc>
        <w:tc>
          <w:tcPr>
            <w:tcW w:w="1409" w:type="dxa"/>
            <w:tcBorders>
              <w:top w:val="single" w:color="000000" w:sz="8" w:space="0"/>
              <w:left w:val="single" w:color="000000" w:sz="8" w:space="0"/>
              <w:bottom w:val="single" w:color="000000" w:sz="8" w:space="0"/>
              <w:right w:val="single" w:color="000000" w:sz="8" w:space="0"/>
            </w:tcBorders>
          </w:tcPr>
          <w:p>
            <w:pPr>
              <w:pStyle w:val="22"/>
              <w:jc w:val="center"/>
            </w:pPr>
            <w:r>
              <w:rPr>
                <w:rFonts w:hint="eastAsia"/>
              </w:rPr>
              <w:t>-</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§6 投资账户信息</w:t>
      </w:r>
    </w:p>
    <w:tbl>
      <w:tblPr>
        <w:tblStyle w:val="13"/>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序号</w:t>
            </w:r>
          </w:p>
        </w:tc>
        <w:tc>
          <w:tcPr>
            <w:tcW w:w="1417"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账户类型</w:t>
            </w:r>
          </w:p>
        </w:tc>
        <w:tc>
          <w:tcPr>
            <w:tcW w:w="2668"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账号</w:t>
            </w:r>
          </w:p>
        </w:tc>
        <w:tc>
          <w:tcPr>
            <w:tcW w:w="1983"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账户名称</w:t>
            </w:r>
          </w:p>
        </w:tc>
        <w:tc>
          <w:tcPr>
            <w:tcW w:w="1988" w:type="dxa"/>
            <w:vAlign w:val="center"/>
          </w:tcPr>
          <w:p>
            <w:pPr>
              <w:spacing w:before="48" w:beforeLines="20" w:after="48" w:afterLines="20"/>
              <w:jc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1</w:t>
            </w:r>
          </w:p>
        </w:tc>
        <w:tc>
          <w:tcPr>
            <w:tcW w:w="1417"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托管账户</w:t>
            </w:r>
          </w:p>
        </w:tc>
        <w:tc>
          <w:tcPr>
            <w:tcW w:w="2668" w:type="dxa"/>
            <w:vAlign w:val="center"/>
          </w:tcPr>
          <w:p>
            <w:pPr>
              <w:spacing w:before="48" w:beforeLines="20" w:after="48" w:afterLines="20"/>
              <w:jc w:val="center"/>
              <w:textAlignment w:val="center"/>
              <w:rPr>
                <w:rFonts w:hint="default"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01200</w:t>
            </w:r>
            <w:r>
              <w:rPr>
                <w:rFonts w:hint="eastAsia" w:ascii="宋体" w:hAnsi="宋体" w:cs="宋体"/>
                <w:kern w:val="0"/>
                <w:sz w:val="24"/>
                <w:szCs w:val="24"/>
                <w:highlight w:val="none"/>
                <w:shd w:val="clear" w:color="auto" w:fill="FFFFFF"/>
                <w:lang w:val="en-US" w:eastAsia="zh-CN" w:bidi="ar-SA"/>
              </w:rPr>
              <w:t>0</w:t>
            </w:r>
            <w:r>
              <w:rPr>
                <w:rFonts w:hint="eastAsia" w:ascii="宋体" w:hAnsi="宋体" w:eastAsia="宋体" w:cs="宋体"/>
                <w:kern w:val="0"/>
                <w:sz w:val="24"/>
                <w:szCs w:val="24"/>
                <w:highlight w:val="none"/>
                <w:shd w:val="clear" w:color="auto" w:fill="FFFFFF"/>
                <w:lang w:val="en-US" w:eastAsia="zh-CN" w:bidi="ar-SA"/>
              </w:rPr>
              <w:t>000000032</w:t>
            </w:r>
            <w:r>
              <w:rPr>
                <w:rFonts w:hint="eastAsia" w:ascii="宋体" w:hAnsi="宋体" w:cs="宋体"/>
                <w:kern w:val="0"/>
                <w:sz w:val="24"/>
                <w:szCs w:val="24"/>
                <w:highlight w:val="none"/>
                <w:shd w:val="clear" w:color="auto" w:fill="FFFFFF"/>
                <w:lang w:val="en-US" w:eastAsia="zh-CN" w:bidi="ar-SA"/>
              </w:rPr>
              <w:t>8</w:t>
            </w:r>
          </w:p>
        </w:tc>
        <w:tc>
          <w:tcPr>
            <w:tcW w:w="1983"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南京银行日日</w:t>
            </w:r>
            <w:r>
              <w:rPr>
                <w:rFonts w:hint="eastAsia" w:ascii="宋体" w:hAnsi="宋体" w:cs="宋体"/>
                <w:kern w:val="0"/>
                <w:sz w:val="24"/>
                <w:szCs w:val="24"/>
                <w:highlight w:val="none"/>
                <w:shd w:val="clear" w:color="auto" w:fill="FFFFFF"/>
                <w:lang w:val="en-US" w:eastAsia="zh-CN" w:bidi="ar-SA"/>
              </w:rPr>
              <w:t>聚鑫</w:t>
            </w:r>
          </w:p>
        </w:tc>
        <w:tc>
          <w:tcPr>
            <w:tcW w:w="1988" w:type="dxa"/>
            <w:vAlign w:val="center"/>
          </w:tcPr>
          <w:p>
            <w:pPr>
              <w:spacing w:before="48" w:beforeLines="20" w:after="48" w:afterLines="20"/>
              <w:jc w:val="center"/>
              <w:textAlignment w:val="center"/>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南京银行</w:t>
            </w:r>
          </w:p>
        </w:tc>
      </w:tr>
    </w:tbl>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rPr>
      </w:pPr>
    </w:p>
    <w:p>
      <w:pPr>
        <w:pStyle w:val="26"/>
        <w:rPr>
          <w:color w:val="000000"/>
          <w:highlight w:val="none"/>
        </w:rPr>
      </w:pPr>
      <w:r>
        <w:rPr>
          <w:rFonts w:hint="eastAsia"/>
          <w:b/>
          <w:bCs/>
          <w:color w:val="000000"/>
          <w:highlight w:val="none"/>
        </w:rPr>
        <w:t>§</w:t>
      </w:r>
      <w:r>
        <w:rPr>
          <w:rFonts w:hint="eastAsia"/>
          <w:b/>
          <w:bCs/>
          <w:color w:val="000000"/>
          <w:highlight w:val="none"/>
          <w:lang w:val="en-US" w:eastAsia="zh-CN"/>
        </w:rPr>
        <w:t>7</w:t>
      </w:r>
      <w:r>
        <w:rPr>
          <w:rFonts w:hint="eastAsia"/>
          <w:b/>
          <w:bCs/>
          <w:color w:val="000000"/>
          <w:highlight w:val="none"/>
        </w:rPr>
        <w:t xml:space="preserve"> 关联交易情况</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报告期内，产品投资于关联方发行的证券0.00元。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产品投资于关联方承销的证券交易金额70</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008</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054.79元。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产品与关联方作为交易对手开展的投融资业务交易金额0.00元。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产品支付关联方托管费647</w:t>
      </w:r>
      <w:r>
        <w:rPr>
          <w:rFonts w:hint="eastAsia" w:ascii="宋体" w:hAnsi="宋体" w:cs="宋体"/>
          <w:kern w:val="0"/>
          <w:sz w:val="24"/>
          <w:szCs w:val="24"/>
          <w:highlight w:val="none"/>
          <w:lang w:val="en-US" w:eastAsia="zh-CN" w:bidi="ar-SA"/>
        </w:rPr>
        <w:t>,</w:t>
      </w:r>
      <w:r>
        <w:rPr>
          <w:rFonts w:hint="eastAsia" w:ascii="宋体" w:hAnsi="宋体" w:eastAsia="宋体" w:cs="宋体"/>
          <w:kern w:val="0"/>
          <w:sz w:val="24"/>
          <w:szCs w:val="24"/>
          <w:highlight w:val="none"/>
          <w:lang w:val="en-US" w:eastAsia="zh-CN" w:bidi="ar-SA"/>
        </w:rPr>
        <w:t>037.59元，支付关联方代销费0.00元。</w:t>
      </w:r>
    </w:p>
    <w:p>
      <w:pPr>
        <w:spacing w:before="240" w:after="72" w:afterLines="30" w:line="360" w:lineRule="auto"/>
        <w:ind w:firstLine="480" w:firstLineChars="200"/>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产品发生其他关联交易金额0.00元。</w:t>
      </w:r>
    </w:p>
    <w:p>
      <w:pPr>
        <w:spacing w:before="240" w:after="72" w:afterLines="30" w:line="360" w:lineRule="auto"/>
        <w:ind w:firstLine="480" w:firstLineChars="200"/>
        <w:rPr>
          <w:rFonts w:ascii="宋体" w:hAnsi="宋体" w:cs="宋体"/>
          <w:color w:val="000000"/>
          <w:kern w:val="0"/>
          <w:sz w:val="24"/>
          <w:szCs w:val="24"/>
        </w:rPr>
      </w:pPr>
      <w:r>
        <w:rPr>
          <w:rFonts w:hint="eastAsia" w:ascii="宋体" w:hAnsi="宋体" w:eastAsia="宋体" w:cs="宋体"/>
          <w:kern w:val="0"/>
          <w:sz w:val="24"/>
          <w:szCs w:val="24"/>
          <w:highlight w:val="none"/>
          <w:lang w:val="en-US" w:eastAsia="zh-CN" w:bidi="ar-SA"/>
        </w:rPr>
        <w:t>报告期内，产品未发生重大关联交易。</w:t>
      </w:r>
      <w:bookmarkStart w:id="5" w:name="_GoBack"/>
      <w:bookmarkEnd w:id="5"/>
    </w:p>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仿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37AD5"/>
    <w:rsid w:val="00044BFF"/>
    <w:rsid w:val="000459B9"/>
    <w:rsid w:val="0005474A"/>
    <w:rsid w:val="00061725"/>
    <w:rsid w:val="000A3711"/>
    <w:rsid w:val="000C02F5"/>
    <w:rsid w:val="000D5066"/>
    <w:rsid w:val="000F6191"/>
    <w:rsid w:val="00130CE8"/>
    <w:rsid w:val="00152201"/>
    <w:rsid w:val="00172A27"/>
    <w:rsid w:val="00172C78"/>
    <w:rsid w:val="00176636"/>
    <w:rsid w:val="00183C84"/>
    <w:rsid w:val="0019452B"/>
    <w:rsid w:val="001B0B66"/>
    <w:rsid w:val="001C05F9"/>
    <w:rsid w:val="001C5395"/>
    <w:rsid w:val="00211F26"/>
    <w:rsid w:val="002263FC"/>
    <w:rsid w:val="002A3AE9"/>
    <w:rsid w:val="002A5EB6"/>
    <w:rsid w:val="002C196E"/>
    <w:rsid w:val="002D65CB"/>
    <w:rsid w:val="002D75D0"/>
    <w:rsid w:val="002E795C"/>
    <w:rsid w:val="00305714"/>
    <w:rsid w:val="00313E71"/>
    <w:rsid w:val="00321CB7"/>
    <w:rsid w:val="003379A9"/>
    <w:rsid w:val="00350ADF"/>
    <w:rsid w:val="00355623"/>
    <w:rsid w:val="003A0419"/>
    <w:rsid w:val="003C4D3B"/>
    <w:rsid w:val="003E09EA"/>
    <w:rsid w:val="003F0AC3"/>
    <w:rsid w:val="00426A25"/>
    <w:rsid w:val="00456251"/>
    <w:rsid w:val="00457E1C"/>
    <w:rsid w:val="004C1607"/>
    <w:rsid w:val="004C337E"/>
    <w:rsid w:val="004F14DC"/>
    <w:rsid w:val="005069D8"/>
    <w:rsid w:val="00526C03"/>
    <w:rsid w:val="0056162E"/>
    <w:rsid w:val="00563B93"/>
    <w:rsid w:val="00567DB3"/>
    <w:rsid w:val="005B3434"/>
    <w:rsid w:val="005E2884"/>
    <w:rsid w:val="005E5050"/>
    <w:rsid w:val="005F2C7B"/>
    <w:rsid w:val="005F4D04"/>
    <w:rsid w:val="005F7DA9"/>
    <w:rsid w:val="006054F8"/>
    <w:rsid w:val="0065419A"/>
    <w:rsid w:val="00654220"/>
    <w:rsid w:val="00663B94"/>
    <w:rsid w:val="00665932"/>
    <w:rsid w:val="00677F66"/>
    <w:rsid w:val="00691F77"/>
    <w:rsid w:val="006C1D20"/>
    <w:rsid w:val="006C7F31"/>
    <w:rsid w:val="006D5AFD"/>
    <w:rsid w:val="006E4E94"/>
    <w:rsid w:val="00730BEE"/>
    <w:rsid w:val="0073101E"/>
    <w:rsid w:val="007347C5"/>
    <w:rsid w:val="00735153"/>
    <w:rsid w:val="00745421"/>
    <w:rsid w:val="007A4219"/>
    <w:rsid w:val="007B5103"/>
    <w:rsid w:val="0080200C"/>
    <w:rsid w:val="00814110"/>
    <w:rsid w:val="0082561A"/>
    <w:rsid w:val="00846B2E"/>
    <w:rsid w:val="00853290"/>
    <w:rsid w:val="0085663C"/>
    <w:rsid w:val="008768AB"/>
    <w:rsid w:val="008926F7"/>
    <w:rsid w:val="008A170D"/>
    <w:rsid w:val="008A7510"/>
    <w:rsid w:val="008C78BD"/>
    <w:rsid w:val="008F0FA3"/>
    <w:rsid w:val="00900D90"/>
    <w:rsid w:val="009205ED"/>
    <w:rsid w:val="009354D6"/>
    <w:rsid w:val="00970A98"/>
    <w:rsid w:val="009C781F"/>
    <w:rsid w:val="009D5296"/>
    <w:rsid w:val="009E6170"/>
    <w:rsid w:val="009F4F90"/>
    <w:rsid w:val="00A37451"/>
    <w:rsid w:val="00A4484F"/>
    <w:rsid w:val="00A76D4B"/>
    <w:rsid w:val="00A77C47"/>
    <w:rsid w:val="00A9119C"/>
    <w:rsid w:val="00AA4549"/>
    <w:rsid w:val="00AC5144"/>
    <w:rsid w:val="00AD28B3"/>
    <w:rsid w:val="00B13014"/>
    <w:rsid w:val="00B17559"/>
    <w:rsid w:val="00B33B19"/>
    <w:rsid w:val="00B404E6"/>
    <w:rsid w:val="00B4360D"/>
    <w:rsid w:val="00B61EA9"/>
    <w:rsid w:val="00B670D1"/>
    <w:rsid w:val="00B74DCA"/>
    <w:rsid w:val="00B84A74"/>
    <w:rsid w:val="00BC02E0"/>
    <w:rsid w:val="00BC3903"/>
    <w:rsid w:val="00BE47E0"/>
    <w:rsid w:val="00BF75C8"/>
    <w:rsid w:val="00C1762E"/>
    <w:rsid w:val="00C20BF2"/>
    <w:rsid w:val="00C25123"/>
    <w:rsid w:val="00C30A48"/>
    <w:rsid w:val="00C375A7"/>
    <w:rsid w:val="00C62DF8"/>
    <w:rsid w:val="00C640FB"/>
    <w:rsid w:val="00CB054E"/>
    <w:rsid w:val="00CC52D7"/>
    <w:rsid w:val="00CF61F3"/>
    <w:rsid w:val="00D23AB6"/>
    <w:rsid w:val="00D50309"/>
    <w:rsid w:val="00D51AA9"/>
    <w:rsid w:val="00D7264A"/>
    <w:rsid w:val="00D84E43"/>
    <w:rsid w:val="00D870DF"/>
    <w:rsid w:val="00DB0C2F"/>
    <w:rsid w:val="00DB3BF6"/>
    <w:rsid w:val="00DC31CC"/>
    <w:rsid w:val="00DC728A"/>
    <w:rsid w:val="00DD2F3C"/>
    <w:rsid w:val="00E009D7"/>
    <w:rsid w:val="00E1059D"/>
    <w:rsid w:val="00E155DF"/>
    <w:rsid w:val="00E22EF2"/>
    <w:rsid w:val="00E24052"/>
    <w:rsid w:val="00E246E1"/>
    <w:rsid w:val="00E4360C"/>
    <w:rsid w:val="00E55EAB"/>
    <w:rsid w:val="00E560F1"/>
    <w:rsid w:val="00E944FA"/>
    <w:rsid w:val="00E9797A"/>
    <w:rsid w:val="00EA7ABC"/>
    <w:rsid w:val="00EE0436"/>
    <w:rsid w:val="00EF4213"/>
    <w:rsid w:val="00F1465C"/>
    <w:rsid w:val="00F41324"/>
    <w:rsid w:val="00F5645F"/>
    <w:rsid w:val="00F57C12"/>
    <w:rsid w:val="00F609FD"/>
    <w:rsid w:val="00F859AB"/>
    <w:rsid w:val="00F950D0"/>
    <w:rsid w:val="00FA2C26"/>
    <w:rsid w:val="00FE1B7B"/>
    <w:rsid w:val="030F2BA7"/>
    <w:rsid w:val="04240CEE"/>
    <w:rsid w:val="065551D3"/>
    <w:rsid w:val="06C37561"/>
    <w:rsid w:val="0A236A5A"/>
    <w:rsid w:val="0BA075C8"/>
    <w:rsid w:val="0BC750CE"/>
    <w:rsid w:val="0CAB045E"/>
    <w:rsid w:val="0EE303C9"/>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2D3588"/>
    <w:rsid w:val="2945121F"/>
    <w:rsid w:val="2986009C"/>
    <w:rsid w:val="29F7636C"/>
    <w:rsid w:val="32955A2A"/>
    <w:rsid w:val="350229F7"/>
    <w:rsid w:val="36341C31"/>
    <w:rsid w:val="368076E6"/>
    <w:rsid w:val="378F5AE0"/>
    <w:rsid w:val="37F709A6"/>
    <w:rsid w:val="39E872E9"/>
    <w:rsid w:val="39FF2E40"/>
    <w:rsid w:val="3ABE1FB8"/>
    <w:rsid w:val="3C753CC7"/>
    <w:rsid w:val="3E4F4038"/>
    <w:rsid w:val="3F2C3B54"/>
    <w:rsid w:val="40990310"/>
    <w:rsid w:val="41196CEB"/>
    <w:rsid w:val="44F30C78"/>
    <w:rsid w:val="459870AF"/>
    <w:rsid w:val="45ED49CE"/>
    <w:rsid w:val="46F0109E"/>
    <w:rsid w:val="47475A63"/>
    <w:rsid w:val="4BCA232B"/>
    <w:rsid w:val="4D3D2BB4"/>
    <w:rsid w:val="4E276A76"/>
    <w:rsid w:val="506954C1"/>
    <w:rsid w:val="509017BA"/>
    <w:rsid w:val="51482FC3"/>
    <w:rsid w:val="52830253"/>
    <w:rsid w:val="541C469D"/>
    <w:rsid w:val="5617604A"/>
    <w:rsid w:val="59C278B3"/>
    <w:rsid w:val="5BE61B5E"/>
    <w:rsid w:val="5CA05A23"/>
    <w:rsid w:val="5EC71EB3"/>
    <w:rsid w:val="602D020F"/>
    <w:rsid w:val="60EA4BD2"/>
    <w:rsid w:val="62BD595C"/>
    <w:rsid w:val="66F47EBC"/>
    <w:rsid w:val="681903E9"/>
    <w:rsid w:val="68823415"/>
    <w:rsid w:val="6898111C"/>
    <w:rsid w:val="68A21F24"/>
    <w:rsid w:val="6A485270"/>
    <w:rsid w:val="6A970E7E"/>
    <w:rsid w:val="6D05415D"/>
    <w:rsid w:val="6F3A4CB1"/>
    <w:rsid w:val="6F66394D"/>
    <w:rsid w:val="70256FB1"/>
    <w:rsid w:val="73193673"/>
    <w:rsid w:val="742938C1"/>
    <w:rsid w:val="74543F24"/>
    <w:rsid w:val="745B39A7"/>
    <w:rsid w:val="74BE328D"/>
    <w:rsid w:val="77B45190"/>
    <w:rsid w:val="77F87FF4"/>
    <w:rsid w:val="78AF7A76"/>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table" w:customStyle="1" w:styleId="32">
    <w:name w:val="dqbgxx"/>
    <w:basedOn w:val="13"/>
    <w:qFormat/>
    <w:uiPriority w:val="0"/>
    <w:pPr>
      <w:spacing w:line="288" w:lineRule="auto"/>
      <w:jc w:val="center"/>
    </w:pPr>
    <w:rPr>
      <w:rFonts w:eastAsia="黑体"/>
      <w:color w:val="000000"/>
      <w:sz w:val="22"/>
    </w:rPr>
    <w:tblPr>
      <w:tblBorders>
        <w:top w:val="single" w:color="auto" w:sz="4" w:space="0"/>
        <w:bottom w:val="single" w:color="auto" w:sz="4" w:space="0"/>
        <w:insideH w:val="single" w:color="auto" w:sz="4" w:space="0"/>
        <w:insideV w:val="single" w:color="auto" w:sz="4" w:space="0"/>
      </w:tblBorders>
      <w:tblLayout w:type="fixed"/>
      <w:tblCellMar>
        <w:top w:w="0" w:type="dxa"/>
        <w:left w:w="108" w:type="dxa"/>
        <w:bottom w:w="0" w:type="dxa"/>
        <w:right w:w="108" w:type="dxa"/>
      </w:tblCellMar>
    </w:tblPr>
    <w:tcPr>
      <w:shd w:val="clear" w:color="auto" w:fill="auto"/>
      <w:vAlign w:val="center"/>
    </w:tcPr>
    <w:tblStylePr w:type="firstRow">
      <w:rPr>
        <w:rFonts w:hint="default" w:eastAsia="黑体"/>
        <w:b/>
        <w:sz w:val="22"/>
      </w:rPr>
    </w:tblStylePr>
    <w:tblStylePr w:type="firstCol">
      <w:rPr>
        <w:rFonts w:hint="default" w:eastAsia="黑体"/>
        <w:b/>
      </w:rPr>
    </w:tblStylePr>
  </w:style>
  <w:style w:type="paragraph" w:customStyle="1" w:styleId="33">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3678</Words>
  <Characters>5283</Characters>
  <Lines>42</Lines>
  <Paragraphs>12</Paragraphs>
  <TotalTime>0</TotalTime>
  <ScaleCrop>false</ScaleCrop>
  <LinksUpToDate>false</LinksUpToDate>
  <CharactersWithSpaces>5401</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2021-03-23T07:59:00Z</cp:lastPrinted>
  <dcterms:modified xsi:type="dcterms:W3CDTF">2024-09-29T07:29:07Z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FEB2CF8FF77F4E2AAF91810415346137_12</vt:lpwstr>
  </property>
</Properties>
</file>