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rPr>
          <w:b/>
          <w:bCs/>
          <w:color w:val="000000"/>
        </w:rPr>
      </w:pPr>
    </w:p>
    <w:p>
      <w:pPr>
        <w:pStyle w:val="26"/>
        <w:rPr>
          <w:b/>
          <w:bCs/>
          <w:color w:val="000000"/>
        </w:rPr>
      </w:pPr>
    </w:p>
    <w:p>
      <w:pPr>
        <w:pStyle w:val="26"/>
        <w:rPr>
          <w:b/>
          <w:bCs/>
          <w:color w:val="000000"/>
        </w:rPr>
      </w:pPr>
    </w:p>
    <w:p>
      <w:pPr>
        <w:pStyle w:val="26"/>
        <w:spacing w:before="240" w:after="120"/>
        <w:rPr>
          <w:rFonts w:ascii="黑体" w:hAnsi="黑体" w:eastAsia="黑体"/>
          <w:b/>
          <w:sz w:val="36"/>
        </w:rPr>
      </w:pPr>
      <w:r>
        <w:rPr>
          <w:rFonts w:hint="eastAsia" w:ascii="黑体" w:hAnsi="黑体" w:eastAsia="黑体"/>
          <w:b/>
          <w:sz w:val="36"/>
        </w:rPr>
        <w:t>南银理财珠联璧合悦稳开放式公募人民币理财产品</w:t>
      </w:r>
    </w:p>
    <w:p>
      <w:pPr>
        <w:pStyle w:val="26"/>
        <w:spacing w:before="240" w:after="120"/>
        <w:rPr>
          <w:rFonts w:ascii="黑体" w:hAnsi="黑体" w:eastAsia="黑体"/>
          <w:b/>
          <w:bCs/>
          <w:color w:val="000000"/>
          <w:sz w:val="36"/>
        </w:rPr>
      </w:pPr>
      <w:r>
        <w:rPr>
          <w:rFonts w:hint="eastAsia" w:ascii="黑体" w:eastAsia="黑体"/>
          <w:b/>
          <w:bCs/>
          <w:color w:val="000000"/>
          <w:sz w:val="36"/>
        </w:rPr>
        <w:t>2020</w:t>
      </w:r>
      <w:r>
        <w:rPr>
          <w:rFonts w:ascii="黑体" w:hAnsi="黑体" w:eastAsia="黑体"/>
          <w:b/>
          <w:bCs/>
          <w:color w:val="000000"/>
          <w:sz w:val="36"/>
        </w:rPr>
        <w:t>年</w:t>
      </w:r>
      <w:r>
        <w:rPr>
          <w:rFonts w:hint="eastAsia" w:ascii="黑体" w:hAnsi="Calibri" w:eastAsia="黑体"/>
          <w:b/>
          <w:color w:val="000000"/>
          <w:sz w:val="36"/>
        </w:rPr>
        <w:t>年度</w:t>
      </w:r>
      <w:r>
        <w:rPr>
          <w:rFonts w:ascii="黑体" w:hAnsi="黑体" w:eastAsia="黑体"/>
          <w:b/>
          <w:bCs/>
          <w:color w:val="000000"/>
          <w:sz w:val="36"/>
        </w:rPr>
        <w:t>报告</w:t>
      </w: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ind w:left="0"/>
        <w:jc w:val="both"/>
        <w:rPr>
          <w:rFonts w:ascii="黑体" w:hAnsi="黑体" w:eastAsia="黑体"/>
          <w:b/>
          <w:bCs/>
          <w:color w:val="000000"/>
          <w:sz w:val="36"/>
        </w:rPr>
      </w:pPr>
    </w:p>
    <w:p>
      <w:pPr>
        <w:pStyle w:val="26"/>
        <w:spacing w:before="240" w:after="120"/>
        <w:ind w:firstLine="2640" w:firstLineChars="1100"/>
        <w:jc w:val="both"/>
        <w:rPr>
          <w:color w:val="000000"/>
        </w:rPr>
      </w:pPr>
      <w:r>
        <w:rPr>
          <w:rFonts w:hint="eastAsia"/>
          <w:color w:val="000000"/>
        </w:rPr>
        <w:t>产品</w:t>
      </w:r>
      <w:r>
        <w:rPr>
          <w:color w:val="000000"/>
        </w:rPr>
        <w:t>管理人:</w:t>
      </w:r>
      <w:r>
        <w:rPr>
          <w:rFonts w:hint="eastAsia"/>
          <w:kern w:val="2"/>
        </w:rPr>
        <w:t>南银理财有限责任公司</w:t>
      </w:r>
    </w:p>
    <w:p>
      <w:pPr>
        <w:pStyle w:val="26"/>
        <w:spacing w:before="240" w:after="120"/>
        <w:ind w:firstLine="2640" w:firstLineChars="1100"/>
        <w:jc w:val="both"/>
        <w:rPr>
          <w:color w:val="000000"/>
        </w:rPr>
      </w:pPr>
      <w:r>
        <w:rPr>
          <w:rFonts w:hint="eastAsia"/>
          <w:color w:val="000000"/>
        </w:rPr>
        <w:t>产品</w:t>
      </w:r>
      <w:r>
        <w:rPr>
          <w:color w:val="000000"/>
        </w:rPr>
        <w:t>托管人:</w:t>
      </w:r>
      <w:r>
        <w:t>南京银行股份有限公司</w:t>
      </w:r>
    </w:p>
    <w:p>
      <w:pPr>
        <w:widowControl/>
        <w:jc w:val="left"/>
        <w:rPr>
          <w:b/>
          <w:bCs/>
          <w:color w:val="000000"/>
        </w:rPr>
      </w:pPr>
      <w:r>
        <w:rPr>
          <w:rFonts w:hint="eastAsia"/>
          <w:b/>
          <w:bCs/>
          <w:color w:val="000000"/>
        </w:rPr>
        <w:br w:type="page"/>
      </w:r>
    </w:p>
    <w:p>
      <w:pPr>
        <w:widowControl/>
        <w:jc w:val="left"/>
        <w:rPr>
          <w:rFonts w:ascii="宋体" w:hAnsi="宋体" w:cs="宋体"/>
          <w:color w:val="000000"/>
          <w:kern w:val="0"/>
          <w:sz w:val="24"/>
          <w:szCs w:val="24"/>
        </w:rPr>
      </w:pPr>
    </w:p>
    <w:p>
      <w:pPr>
        <w:pStyle w:val="26"/>
        <w:rPr>
          <w:color w:val="000000"/>
        </w:rPr>
      </w:pPr>
      <w:r>
        <w:rPr>
          <w:rFonts w:hint="eastAsia" w:hAnsi="Calibri"/>
          <w:b/>
          <w:color w:val="000000"/>
        </w:rPr>
        <w:t>§1 产品概况</w:t>
      </w:r>
    </w:p>
    <w:p>
      <w:pPr>
        <w:widowControl/>
        <w:jc w:val="left"/>
        <w:rPr>
          <w:rFonts w:ascii="宋体" w:hAnsi="宋体" w:cs="宋体"/>
          <w:color w:val="000000"/>
          <w:kern w:val="0"/>
          <w:sz w:val="24"/>
          <w:szCs w:val="24"/>
        </w:rPr>
      </w:pPr>
    </w:p>
    <w:tbl>
      <w:tblPr>
        <w:tblStyle w:val="13"/>
        <w:tblW w:w="9198" w:type="dxa"/>
        <w:tblInd w:w="108" w:type="dxa"/>
        <w:tblLayout w:type="fixed"/>
        <w:tblCellMar>
          <w:top w:w="0" w:type="dxa"/>
          <w:left w:w="108" w:type="dxa"/>
          <w:bottom w:w="0" w:type="dxa"/>
          <w:right w:w="108" w:type="dxa"/>
        </w:tblCellMar>
      </w:tblPr>
      <w:tblGrid>
        <w:gridCol w:w="2811"/>
        <w:gridCol w:w="6387"/>
      </w:tblGrid>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产品全称</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南银理财珠联璧合悦稳开放式公募人民币理财产品</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产品登记编码</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pPr>
            <w:r>
              <w:rPr>
                <w:rFonts w:hint="eastAsia"/>
              </w:rPr>
              <w:t>Z7003220000012（投资者可依据该编码在中国理财网www.chinawealth.com.cn查询理财产品相关信息）</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产品运作方式</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开放式净值型</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产品成立日</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t>20</w:t>
            </w:r>
            <w:r>
              <w:rPr>
                <w:rFonts w:hint="eastAsia"/>
              </w:rPr>
              <w:t>20</w:t>
            </w:r>
            <w:r>
              <w:t>年</w:t>
            </w:r>
            <w:r>
              <w:rPr>
                <w:rFonts w:hint="eastAsia"/>
              </w:rPr>
              <w:t>05</w:t>
            </w:r>
            <w:r>
              <w:t>月</w:t>
            </w:r>
            <w:r>
              <w:rPr>
                <w:rFonts w:hint="eastAsia"/>
              </w:rPr>
              <w:t>2</w:t>
            </w:r>
            <w:r>
              <w:t>8日</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报告期末产品份额总额</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highlight w:val="yellow"/>
              </w:rPr>
            </w:pPr>
            <w:r>
              <w:t>5,583,389,116.05份</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报告期末产品杠杆水平</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103.72%</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合作机构</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产品管理人</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南银理财有限责任公司</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产品托管人</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南京银行股份有限公司</w:t>
            </w:r>
          </w:p>
        </w:tc>
      </w:tr>
    </w:tbl>
    <w:p>
      <w:pPr>
        <w:widowControl/>
        <w:jc w:val="left"/>
        <w:rPr>
          <w:rFonts w:ascii="宋体" w:hAnsi="宋体" w:cs="宋体"/>
          <w:color w:val="000000"/>
          <w:kern w:val="0"/>
          <w:sz w:val="24"/>
          <w:szCs w:val="24"/>
        </w:rPr>
      </w:pPr>
    </w:p>
    <w:p>
      <w:pPr>
        <w:pStyle w:val="26"/>
        <w:rPr>
          <w:rFonts w:hAnsi="Calibri"/>
          <w:b/>
          <w:color w:val="000000"/>
        </w:rPr>
      </w:pPr>
    </w:p>
    <w:p>
      <w:pPr>
        <w:pStyle w:val="26"/>
        <w:rPr>
          <w:color w:val="000000"/>
        </w:rPr>
      </w:pPr>
      <w:r>
        <w:rPr>
          <w:rFonts w:hint="eastAsia" w:hAnsi="Calibri"/>
          <w:b/>
          <w:color w:val="000000"/>
        </w:rPr>
        <w:t>§2  主要财务指标</w:t>
      </w:r>
    </w:p>
    <w:p>
      <w:pPr>
        <w:widowControl/>
        <w:jc w:val="left"/>
        <w:rPr>
          <w:rFonts w:ascii="宋体" w:hAnsi="宋体" w:cs="宋体"/>
          <w:color w:val="000000"/>
          <w:kern w:val="0"/>
          <w:sz w:val="24"/>
          <w:szCs w:val="24"/>
        </w:rPr>
      </w:pPr>
    </w:p>
    <w:p>
      <w:pPr>
        <w:pStyle w:val="20"/>
        <w:rPr>
          <w:color w:val="000000"/>
        </w:rPr>
      </w:pPr>
      <w:r>
        <w:rPr>
          <w:rFonts w:hint="eastAsia"/>
          <w:b/>
          <w:bCs/>
          <w:color w:val="000000"/>
        </w:rPr>
        <w:t>2.1 主要财务指标</w:t>
      </w:r>
    </w:p>
    <w:p>
      <w:pPr>
        <w:widowControl/>
        <w:autoSpaceDE w:val="0"/>
        <w:autoSpaceDN w:val="0"/>
        <w:adjustRightInd w:val="0"/>
        <w:spacing w:line="288" w:lineRule="auto"/>
        <w:jc w:val="right"/>
        <w:rPr>
          <w:rFonts w:ascii="宋体" w:hAnsi="宋体" w:cs="宋体"/>
          <w:color w:val="000000"/>
          <w:kern w:val="0"/>
          <w:sz w:val="24"/>
          <w:szCs w:val="24"/>
        </w:rPr>
      </w:pPr>
      <w:r>
        <w:rPr>
          <w:rFonts w:hint="eastAsia" w:ascii="宋体" w:cs="宋体"/>
          <w:color w:val="000000"/>
          <w:kern w:val="0"/>
          <w:sz w:val="24"/>
          <w:szCs w:val="24"/>
        </w:rPr>
        <w:t>单位：人民币元</w:t>
      </w:r>
    </w:p>
    <w:tbl>
      <w:tblPr>
        <w:tblStyle w:val="13"/>
        <w:tblW w:w="9045" w:type="dxa"/>
        <w:tblInd w:w="108" w:type="dxa"/>
        <w:tblLayout w:type="fixed"/>
        <w:tblCellMar>
          <w:top w:w="0" w:type="dxa"/>
          <w:left w:w="108" w:type="dxa"/>
          <w:bottom w:w="0" w:type="dxa"/>
          <w:right w:w="108" w:type="dxa"/>
        </w:tblCellMar>
      </w:tblPr>
      <w:tblGrid>
        <w:gridCol w:w="5220"/>
        <w:gridCol w:w="3825"/>
      </w:tblGrid>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jc w:val="center"/>
              <w:rPr>
                <w:color w:val="000000"/>
              </w:rPr>
            </w:pPr>
            <w:r>
              <w:rPr>
                <w:b/>
              </w:rPr>
              <w:t>主要财务指标</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6"/>
              <w:spacing w:before="240" w:after="120"/>
              <w:rPr>
                <w:color w:val="000000"/>
              </w:rPr>
            </w:pPr>
            <w:r>
              <w:t>报告期（20</w:t>
            </w:r>
            <w:r>
              <w:rPr>
                <w:rFonts w:hint="eastAsia"/>
              </w:rPr>
              <w:t>20</w:t>
            </w:r>
            <w:r>
              <w:t>年</w:t>
            </w:r>
            <w:r>
              <w:rPr>
                <w:rFonts w:hint="eastAsia"/>
              </w:rPr>
              <w:t>05</w:t>
            </w:r>
            <w:r>
              <w:t>月</w:t>
            </w:r>
            <w:r>
              <w:rPr>
                <w:rFonts w:hint="eastAsia"/>
              </w:rPr>
              <w:t>2</w:t>
            </w:r>
            <w:r>
              <w:t>8日- 2020年12月31日）</w:t>
            </w:r>
          </w:p>
        </w:tc>
      </w:tr>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rPr>
                <w:color w:val="000000"/>
              </w:rPr>
            </w:pPr>
            <w:r>
              <w:rPr>
                <w:rFonts w:hint="eastAsia"/>
                <w:shd w:val="clear" w:color="auto" w:fill="FFFFFF"/>
              </w:rPr>
              <w:t>1</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2"/>
              <w:jc w:val="center"/>
              <w:rPr>
                <w:color w:val="000000"/>
                <w:highlight w:val="yellow"/>
              </w:rPr>
            </w:pPr>
            <w:r>
              <w:t>5,732,428,275.81</w:t>
            </w:r>
          </w:p>
        </w:tc>
      </w:tr>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rPr>
                <w:color w:val="000000"/>
              </w:rPr>
            </w:pPr>
            <w:r>
              <w:rPr>
                <w:rFonts w:hint="eastAsia"/>
                <w:shd w:val="clear" w:color="auto" w:fill="FFFFFF"/>
              </w:rPr>
              <w:t>2</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2"/>
              <w:jc w:val="center"/>
              <w:rPr>
                <w:color w:val="000000"/>
                <w:highlight w:val="yellow"/>
              </w:rPr>
            </w:pPr>
            <w:r>
              <w:t>1.0267</w:t>
            </w:r>
          </w:p>
        </w:tc>
      </w:tr>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rPr>
                <w:color w:val="000000"/>
              </w:rPr>
            </w:pPr>
            <w:r>
              <w:rPr>
                <w:rFonts w:hint="eastAsia"/>
                <w:shd w:val="clear" w:color="auto" w:fill="FFFFFF"/>
              </w:rPr>
              <w:t>3</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2"/>
              <w:jc w:val="center"/>
              <w:rPr>
                <w:color w:val="000000"/>
                <w:highlight w:val="yellow"/>
              </w:rPr>
            </w:pPr>
            <w:r>
              <w:t>1.0267</w:t>
            </w:r>
          </w:p>
        </w:tc>
      </w:tr>
      <w:tr>
        <w:tblPrEx>
          <w:tblLayout w:type="fixed"/>
          <w:tblCellMar>
            <w:top w:w="0" w:type="dxa"/>
            <w:left w:w="108" w:type="dxa"/>
            <w:bottom w:w="0" w:type="dxa"/>
            <w:right w:w="108" w:type="dxa"/>
          </w:tblCellMar>
        </w:tblPrEx>
        <w:tc>
          <w:tcPr>
            <w:tcW w:w="5220" w:type="dxa"/>
            <w:vAlign w:val="center"/>
          </w:tcPr>
          <w:p>
            <w:pPr>
              <w:widowControl/>
              <w:jc w:val="left"/>
              <w:rPr>
                <w:rFonts w:ascii="宋体" w:hAnsi="宋体" w:cs="宋体"/>
                <w:color w:val="000000"/>
                <w:kern w:val="0"/>
                <w:sz w:val="24"/>
                <w:szCs w:val="24"/>
              </w:rPr>
            </w:pPr>
          </w:p>
        </w:tc>
        <w:tc>
          <w:tcPr>
            <w:tcW w:w="3825" w:type="dxa"/>
            <w:vAlign w:val="center"/>
          </w:tcPr>
          <w:p>
            <w:pPr>
              <w:widowControl/>
              <w:jc w:val="left"/>
              <w:rPr>
                <w:color w:val="000000"/>
                <w:kern w:val="0"/>
                <w:sz w:val="20"/>
                <w:szCs w:val="20"/>
              </w:rPr>
            </w:pPr>
          </w:p>
        </w:tc>
      </w:tr>
    </w:tbl>
    <w:p>
      <w:pPr>
        <w:pStyle w:val="25"/>
        <w:ind w:left="0"/>
        <w:rPr>
          <w:color w:val="000000"/>
        </w:rPr>
      </w:pPr>
    </w:p>
    <w:p>
      <w:pPr>
        <w:widowControl/>
        <w:jc w:val="left"/>
        <w:rPr>
          <w:rFonts w:ascii="宋体" w:hAnsi="宋体" w:cs="宋体"/>
          <w:color w:val="000000"/>
          <w:kern w:val="0"/>
          <w:sz w:val="24"/>
          <w:szCs w:val="24"/>
        </w:rPr>
      </w:pPr>
    </w:p>
    <w:p>
      <w:pPr>
        <w:pStyle w:val="26"/>
        <w:rPr>
          <w:b/>
          <w:color w:val="000000"/>
        </w:rPr>
      </w:pPr>
      <w:r>
        <w:rPr>
          <w:rFonts w:hint="eastAsia" w:hAnsi="Calibri"/>
          <w:b/>
          <w:color w:val="000000"/>
        </w:rPr>
        <w:t>§3  管理人报告</w:t>
      </w:r>
    </w:p>
    <w:p>
      <w:pPr>
        <w:pStyle w:val="8"/>
        <w:rPr>
          <w:b/>
          <w:color w:val="000000"/>
        </w:rPr>
      </w:pPr>
      <w:r>
        <w:rPr>
          <w:rFonts w:hint="eastAsia"/>
          <w:b/>
          <w:color w:val="000000"/>
        </w:rPr>
        <w:t>3.1 报告期内产品的投资策略和运作分析</w:t>
      </w:r>
    </w:p>
    <w:p>
      <w:pPr>
        <w:pStyle w:val="25"/>
        <w:spacing w:line="360" w:lineRule="auto"/>
        <w:ind w:firstLine="480" w:firstLineChars="200"/>
        <w:rPr>
          <w:color w:val="000000"/>
        </w:rPr>
      </w:pPr>
      <w:r>
        <w:rPr>
          <w:rFonts w:hint="eastAsia"/>
          <w:color w:val="000000"/>
        </w:rPr>
        <w:t>2020年宏观经济受新冠疫情冲击影响贯穿全年，全球金融市场经历大幅波动。受新冠肺炎疫情的冲击，我国一季度经济明显收缩，投资、消费、出口均出呈现了萎缩态势，一季度经济增速同比下滑6.8%。二季度以来，全国疫情防控和复工复产取得明显成效，在宏观政策不断加大力度的背景下，国内经济呈全面复苏态势，并在世界主要经济体中率先实现正增长。据初步核算，2020年国内生产总值101.6万亿元，同比增长2.3%，增速较上年下滑3.8%；全国规模以上工业增加值累计同比增长2.8%，增速较上年下滑2.9%。全国固定资产投资累计同比增长2.9%，增速较上年下滑2.5%；社会消费品零售总额391,981亿元，比上年下降3.9%。在外需恢复与供给替代驱动下，2020年我国对外贸易实现正增长，同比增长1.9%，其中出口增长4.0%，进口下降0.7%。</w:t>
      </w:r>
    </w:p>
    <w:p>
      <w:pPr>
        <w:pStyle w:val="25"/>
        <w:spacing w:line="360" w:lineRule="auto"/>
        <w:ind w:firstLine="480"/>
        <w:rPr>
          <w:color w:val="000000"/>
        </w:rPr>
      </w:pPr>
      <w:r>
        <w:rPr>
          <w:rFonts w:hint="eastAsia"/>
          <w:color w:val="000000"/>
        </w:rPr>
        <w:t>债券市场收益率先下后上，全年波动较大。年初受突发疫情冲击、全球央行货币政策全面放松、央行加大逆周期调节力度等因素影响，市场收益率大幅下行。5月起，我国疫情防控逐步常态化，基本面预期企稳，市场风险偏好回升，同时央行货币政策边际收紧，叠加利率债供给放量等因素共振，推升市场益率走高。进入11月，国企债券违约等信用风险事件导致债券市场出现普遍性调整，信用利差持续走阔。但12月中央关于政策“不急转弯”的基调，明显提振市场情绪，加之央行连续超预期续作MLF，市场流动性充裕，信用事件冲击逐渐缓和，债市走强。整体来看，全年10年期国债收益率3.14%，较上年末无变化；10年期国开债收益率下行4bp至3.53%。</w:t>
      </w:r>
    </w:p>
    <w:p>
      <w:pPr>
        <w:pStyle w:val="25"/>
        <w:spacing w:line="360" w:lineRule="auto"/>
        <w:ind w:firstLine="480"/>
        <w:rPr>
          <w:color w:val="000000"/>
        </w:rPr>
      </w:pPr>
      <w:r>
        <w:rPr>
          <w:rFonts w:hint="eastAsia"/>
          <w:color w:val="000000"/>
        </w:rPr>
        <w:t>展望后市，由于经济仍处于复苏进程中，短期来看，当前长端利率估值偏贵，债市后期面临调整的压力较高。但国内局部疫情、疫苗效果、中美经贸摩擦走向依然具有不确定性，市场波动可能加大。</w:t>
      </w:r>
    </w:p>
    <w:p>
      <w:pPr>
        <w:pStyle w:val="25"/>
        <w:spacing w:line="360" w:lineRule="auto"/>
        <w:ind w:firstLine="480"/>
        <w:rPr>
          <w:color w:val="000000"/>
        </w:rPr>
      </w:pPr>
      <w:r>
        <w:rPr>
          <w:rFonts w:hint="eastAsia"/>
          <w:color w:val="000000"/>
        </w:rPr>
        <w:t>产品以信用债和利率债为主要配置资产，在流动性安全和资金成本可控的条件下维持相对中性的剩余期限和杠杆水平；同时把握市场走势，在利率下行阶段实现资本利得收益。总体来看，产品保持了较好的流动性和较稳定的收益率。未来产品将继续围绕稳健回报的收益目标进行操作，在保证流动性安全、信用风险可控的基础上做好资产配置。</w:t>
      </w:r>
    </w:p>
    <w:p>
      <w:pPr>
        <w:pStyle w:val="8"/>
        <w:rPr>
          <w:b/>
          <w:color w:val="000000"/>
        </w:rPr>
      </w:pPr>
      <w:r>
        <w:rPr>
          <w:rFonts w:hint="eastAsia"/>
          <w:b/>
          <w:color w:val="000000"/>
        </w:rPr>
        <w:t>3.2 报告期内产品的流动性风险分析</w:t>
      </w:r>
    </w:p>
    <w:p>
      <w:pPr>
        <w:pStyle w:val="25"/>
        <w:spacing w:line="360" w:lineRule="auto"/>
        <w:ind w:firstLine="480"/>
        <w:rPr>
          <w:color w:val="000000"/>
        </w:rPr>
      </w:pPr>
      <w:r>
        <w:rPr>
          <w:rFonts w:hint="eastAsia"/>
          <w:color w:val="000000"/>
        </w:rPr>
        <w:t>2020年市场流动性整体充裕。为保障流动性安全，本产品提前做好资金储备，平稳度过各流动性关键时点。目前央行高频投放资金表达呵护市场的态度，短期市场流动性预计整体宽松。中期需关注资金面边际收紧的风险。本产品将继续保持稳健的投资风格，主动控制久期，灵活运用杠杆，关注节点资金波动情况，做好流动性预判和资产到期分布安排，防范流动性风险。</w:t>
      </w:r>
    </w:p>
    <w:p>
      <w:pPr>
        <w:pStyle w:val="8"/>
        <w:tabs>
          <w:tab w:val="center" w:pos="4545"/>
        </w:tabs>
        <w:rPr>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r>
        <w:rPr>
          <w:b/>
          <w:color w:val="000000"/>
        </w:rPr>
        <w:tab/>
      </w:r>
    </w:p>
    <w:p>
      <w:pPr>
        <w:pStyle w:val="8"/>
        <w:rPr>
          <w:b/>
          <w:color w:val="000000"/>
          <w:highlight w:val="none"/>
        </w:rPr>
      </w:pPr>
      <w:r>
        <w:rPr>
          <w:rFonts w:hint="eastAsia"/>
          <w:b/>
          <w:color w:val="000000"/>
          <w:highlight w:val="none"/>
        </w:rPr>
        <w:t>3.3.1 报告期内产品净值情况</w:t>
      </w:r>
    </w:p>
    <w:p>
      <w:pPr>
        <w:widowControl/>
        <w:autoSpaceDE w:val="0"/>
        <w:autoSpaceDN w:val="0"/>
        <w:adjustRightInd w:val="0"/>
        <w:spacing w:line="288" w:lineRule="auto"/>
        <w:jc w:val="right"/>
        <w:rPr>
          <w:rFonts w:ascii="宋体" w:hAnsi="宋体" w:cs="宋体"/>
          <w:color w:val="000000"/>
          <w:kern w:val="0"/>
          <w:sz w:val="24"/>
          <w:szCs w:val="24"/>
          <w:highlight w:val="none"/>
        </w:rPr>
      </w:pPr>
      <w:r>
        <w:rPr>
          <w:rFonts w:hint="eastAsia" w:ascii="宋体" w:cs="宋体"/>
          <w:color w:val="000000"/>
          <w:kern w:val="0"/>
          <w:sz w:val="24"/>
          <w:szCs w:val="24"/>
          <w:highlight w:val="none"/>
        </w:rPr>
        <w:t>金额</w:t>
      </w:r>
      <w:r>
        <w:rPr>
          <w:rFonts w:ascii="宋体" w:cs="宋体"/>
          <w:color w:val="000000"/>
          <w:kern w:val="0"/>
          <w:sz w:val="24"/>
          <w:szCs w:val="24"/>
          <w:highlight w:val="none"/>
        </w:rPr>
        <w:t>单位</w:t>
      </w:r>
      <w:r>
        <w:rPr>
          <w:rFonts w:hint="eastAsia" w:ascii="宋体" w:cs="宋体"/>
          <w:color w:val="000000"/>
          <w:kern w:val="0"/>
          <w:sz w:val="24"/>
          <w:szCs w:val="24"/>
          <w:highlight w:val="none"/>
        </w:rPr>
        <w:t>：人民币元</w:t>
      </w:r>
    </w:p>
    <w:tbl>
      <w:tblPr>
        <w:tblStyle w:val="13"/>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0"/>
        <w:gridCol w:w="1419"/>
        <w:gridCol w:w="1536"/>
        <w:gridCol w:w="2057"/>
        <w:gridCol w:w="2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0" w:type="dxa"/>
            <w:vMerge w:val="restart"/>
            <w:shd w:val="clear" w:color="auto" w:fill="auto"/>
            <w:vAlign w:val="center"/>
          </w:tcPr>
          <w:p>
            <w:pPr>
              <w:spacing w:line="288" w:lineRule="auto"/>
              <w:jc w:val="center"/>
              <w:rPr>
                <w:rFonts w:hint="eastAsia" w:ascii="宋体" w:hAnsi="宋体" w:eastAsia="宋体" w:cs="宋体"/>
                <w:b/>
                <w:bCs/>
                <w:color w:val="000000"/>
                <w:kern w:val="0"/>
                <w:sz w:val="22"/>
                <w:szCs w:val="20"/>
                <w:highlight w:val="none"/>
              </w:rPr>
            </w:pPr>
            <w:r>
              <w:rPr>
                <w:rFonts w:hint="eastAsia" w:ascii="宋体" w:hAnsi="宋体" w:eastAsia="宋体" w:cs="宋体"/>
                <w:b/>
                <w:bCs/>
                <w:color w:val="000000"/>
                <w:kern w:val="0"/>
                <w:sz w:val="22"/>
                <w:szCs w:val="20"/>
                <w:highlight w:val="none"/>
              </w:rPr>
              <w:t>销售代码</w:t>
            </w:r>
          </w:p>
        </w:tc>
        <w:tc>
          <w:tcPr>
            <w:tcW w:w="5012" w:type="dxa"/>
            <w:gridSpan w:val="3"/>
            <w:shd w:val="clear" w:color="auto" w:fill="auto"/>
            <w:vAlign w:val="center"/>
          </w:tcPr>
          <w:p>
            <w:pPr>
              <w:spacing w:line="288" w:lineRule="auto"/>
              <w:jc w:val="center"/>
              <w:rPr>
                <w:rFonts w:hint="eastAsia" w:ascii="宋体" w:hAnsi="宋体" w:eastAsia="宋体" w:cs="宋体"/>
                <w:b/>
                <w:bCs/>
                <w:color w:val="000000"/>
                <w:kern w:val="0"/>
                <w:sz w:val="22"/>
                <w:szCs w:val="20"/>
                <w:highlight w:val="none"/>
              </w:rPr>
            </w:pPr>
            <w:r>
              <w:rPr>
                <w:rFonts w:hint="eastAsia" w:ascii="宋体" w:hAnsi="宋体" w:eastAsia="宋体" w:cs="宋体"/>
                <w:b/>
                <w:bCs/>
                <w:color w:val="000000"/>
                <w:sz w:val="22"/>
                <w:szCs w:val="20"/>
                <w:highlight w:val="none"/>
              </w:rPr>
              <w:t>时点指标：报告期末</w:t>
            </w:r>
          </w:p>
        </w:tc>
        <w:tc>
          <w:tcPr>
            <w:tcW w:w="2218" w:type="dxa"/>
            <w:shd w:val="clear" w:color="auto" w:fill="auto"/>
            <w:vAlign w:val="center"/>
          </w:tcPr>
          <w:p>
            <w:pPr>
              <w:spacing w:line="288" w:lineRule="auto"/>
              <w:jc w:val="center"/>
              <w:rPr>
                <w:rFonts w:hint="eastAsia" w:ascii="宋体" w:hAnsi="宋体" w:eastAsia="宋体" w:cs="宋体"/>
                <w:b/>
                <w:bCs/>
                <w:color w:val="000000"/>
                <w:sz w:val="22"/>
                <w:szCs w:val="20"/>
                <w:highlight w:val="none"/>
              </w:rPr>
            </w:pPr>
            <w:r>
              <w:rPr>
                <w:rFonts w:hint="eastAsia" w:ascii="宋体" w:hAnsi="宋体" w:eastAsia="宋体" w:cs="宋体"/>
                <w:b/>
                <w:bCs/>
                <w:color w:val="000000"/>
                <w:sz w:val="22"/>
                <w:szCs w:val="20"/>
                <w:highlight w:val="none"/>
              </w:rPr>
              <w:t>区间指标：报告期间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270" w:type="dxa"/>
            <w:vMerge w:val="continue"/>
            <w:shd w:val="clear" w:color="auto" w:fill="auto"/>
            <w:vAlign w:val="center"/>
          </w:tcPr>
          <w:p>
            <w:pPr>
              <w:pStyle w:val="33"/>
              <w:rPr>
                <w:rFonts w:hint="eastAsia" w:ascii="宋体" w:hAnsi="宋体" w:eastAsia="宋体" w:cs="宋体"/>
                <w:b/>
                <w:color w:val="000000"/>
                <w:kern w:val="2"/>
                <w:highlight w:val="none"/>
              </w:rPr>
            </w:pPr>
          </w:p>
        </w:tc>
        <w:tc>
          <w:tcPr>
            <w:tcW w:w="1419" w:type="dxa"/>
            <w:shd w:val="clear" w:color="auto" w:fill="auto"/>
            <w:vAlign w:val="center"/>
          </w:tcPr>
          <w:p>
            <w:pPr>
              <w:pStyle w:val="33"/>
              <w:rPr>
                <w:rFonts w:hint="eastAsia" w:ascii="宋体" w:hAnsi="宋体" w:eastAsia="宋体" w:cs="宋体"/>
                <w:color w:val="000000"/>
                <w:kern w:val="2"/>
                <w:highlight w:val="none"/>
              </w:rPr>
            </w:pPr>
            <w:r>
              <w:rPr>
                <w:rFonts w:hint="eastAsia" w:ascii="宋体" w:hAnsi="宋体" w:eastAsia="宋体" w:cs="宋体"/>
                <w:color w:val="000000"/>
                <w:kern w:val="2"/>
                <w:highlight w:val="none"/>
              </w:rPr>
              <w:t>份额净值</w:t>
            </w:r>
          </w:p>
        </w:tc>
        <w:tc>
          <w:tcPr>
            <w:tcW w:w="1536" w:type="dxa"/>
            <w:shd w:val="clear" w:color="auto" w:fill="auto"/>
            <w:vAlign w:val="center"/>
          </w:tcPr>
          <w:p>
            <w:pPr>
              <w:pStyle w:val="33"/>
              <w:rPr>
                <w:rFonts w:hint="eastAsia" w:ascii="宋体" w:hAnsi="宋体" w:eastAsia="宋体" w:cs="宋体"/>
                <w:color w:val="000000"/>
                <w:kern w:val="2"/>
                <w:highlight w:val="none"/>
              </w:rPr>
            </w:pPr>
            <w:r>
              <w:rPr>
                <w:rFonts w:hint="eastAsia" w:ascii="宋体" w:hAnsi="宋体" w:eastAsia="宋体" w:cs="宋体"/>
                <w:color w:val="000000"/>
                <w:kern w:val="2"/>
                <w:highlight w:val="none"/>
              </w:rPr>
              <w:t>份额累计净值</w:t>
            </w:r>
          </w:p>
        </w:tc>
        <w:tc>
          <w:tcPr>
            <w:tcW w:w="2057" w:type="dxa"/>
            <w:shd w:val="clear" w:color="auto" w:fill="auto"/>
            <w:vAlign w:val="center"/>
          </w:tcPr>
          <w:p>
            <w:pPr>
              <w:pStyle w:val="33"/>
              <w:rPr>
                <w:rFonts w:hint="eastAsia" w:ascii="宋体" w:hAnsi="宋体" w:eastAsia="宋体" w:cs="宋体"/>
                <w:color w:val="000000"/>
                <w:kern w:val="2"/>
                <w:highlight w:val="none"/>
              </w:rPr>
            </w:pPr>
            <w:r>
              <w:rPr>
                <w:rFonts w:hint="eastAsia" w:ascii="宋体" w:hAnsi="宋体" w:eastAsia="宋体" w:cs="宋体"/>
                <w:color w:val="000000"/>
                <w:kern w:val="2"/>
                <w:highlight w:val="none"/>
              </w:rPr>
              <w:t>资产净值</w:t>
            </w:r>
          </w:p>
        </w:tc>
        <w:tc>
          <w:tcPr>
            <w:tcW w:w="2218" w:type="dxa"/>
            <w:shd w:val="clear" w:color="auto" w:fill="auto"/>
            <w:vAlign w:val="center"/>
          </w:tcPr>
          <w:p>
            <w:pPr>
              <w:pStyle w:val="33"/>
              <w:rPr>
                <w:rFonts w:hint="eastAsia" w:ascii="宋体" w:hAnsi="宋体" w:eastAsia="宋体" w:cs="宋体"/>
                <w:color w:val="000000"/>
                <w:kern w:val="2"/>
                <w:highlight w:val="none"/>
              </w:rPr>
            </w:pPr>
            <w:r>
              <w:rPr>
                <w:rFonts w:hint="eastAsia" w:ascii="宋体" w:hAnsi="宋体" w:eastAsia="宋体" w:cs="宋体"/>
                <w:color w:val="000000"/>
                <w:kern w:val="2"/>
                <w:highlight w:val="none"/>
              </w:rPr>
              <w:t>净值增长率/净值收益率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0" w:type="dxa"/>
            <w:shd w:val="clear" w:color="auto" w:fill="auto"/>
            <w:vAlign w:val="center"/>
          </w:tcPr>
          <w:p>
            <w:pPr>
              <w:pStyle w:val="33"/>
              <w:rPr>
                <w:rFonts w:hint="default" w:ascii="宋体" w:hAnsi="宋体" w:eastAsia="宋体" w:cs="宋体"/>
                <w:b/>
                <w:color w:val="000000"/>
                <w:kern w:val="2"/>
                <w:highlight w:val="none"/>
                <w:lang w:val="en-US" w:eastAsia="zh-CN"/>
              </w:rPr>
            </w:pPr>
            <w:r>
              <w:rPr>
                <w:rFonts w:hint="eastAsia" w:ascii="宋体" w:hAnsi="宋体" w:eastAsia="宋体" w:cs="宋体"/>
                <w:color w:val="000000"/>
                <w:kern w:val="2"/>
                <w:highlight w:val="none"/>
              </w:rPr>
              <w:t>Z3</w:t>
            </w:r>
            <w:r>
              <w:rPr>
                <w:rFonts w:hint="eastAsia" w:ascii="宋体" w:hAnsi="宋体" w:eastAsia="宋体" w:cs="宋体"/>
                <w:color w:val="000000"/>
                <w:kern w:val="2"/>
                <w:highlight w:val="none"/>
                <w:lang w:val="en-US" w:eastAsia="zh-CN"/>
              </w:rPr>
              <w:t>1001</w:t>
            </w:r>
          </w:p>
        </w:tc>
        <w:tc>
          <w:tcPr>
            <w:tcW w:w="1419" w:type="dxa"/>
            <w:shd w:val="clear" w:color="auto" w:fill="auto"/>
            <w:vAlign w:val="center"/>
          </w:tcPr>
          <w:p>
            <w:pPr>
              <w:pStyle w:val="33"/>
              <w:rPr>
                <w:rFonts w:hint="default" w:ascii="宋体" w:hAnsi="宋体" w:eastAsia="宋体" w:cs="宋体"/>
                <w:color w:val="000000"/>
                <w:kern w:val="2"/>
                <w:highlight w:val="none"/>
                <w:lang w:val="en-US" w:eastAsia="zh-CN"/>
              </w:rPr>
            </w:pPr>
            <w:r>
              <w:rPr>
                <w:rFonts w:hint="eastAsia" w:ascii="宋体" w:hAnsi="宋体" w:eastAsia="宋体" w:cs="宋体"/>
                <w:color w:val="000000"/>
                <w:highlight w:val="none"/>
              </w:rPr>
              <w:t>1.0</w:t>
            </w:r>
            <w:r>
              <w:rPr>
                <w:rFonts w:hint="eastAsia" w:ascii="宋体" w:hAnsi="宋体" w:eastAsia="宋体" w:cs="宋体"/>
                <w:color w:val="000000"/>
                <w:highlight w:val="none"/>
                <w:lang w:val="en-US" w:eastAsia="zh-CN"/>
              </w:rPr>
              <w:t>267</w:t>
            </w:r>
          </w:p>
        </w:tc>
        <w:tc>
          <w:tcPr>
            <w:tcW w:w="1536" w:type="dxa"/>
            <w:shd w:val="clear" w:color="auto" w:fill="auto"/>
            <w:vAlign w:val="center"/>
          </w:tcPr>
          <w:p>
            <w:pPr>
              <w:pStyle w:val="33"/>
              <w:rPr>
                <w:rFonts w:hint="default" w:ascii="宋体" w:hAnsi="宋体" w:eastAsia="宋体" w:cs="宋体"/>
                <w:color w:val="000000"/>
                <w:kern w:val="2"/>
                <w:highlight w:val="none"/>
                <w:lang w:val="en-US" w:eastAsia="zh-CN"/>
              </w:rPr>
            </w:pPr>
            <w:r>
              <w:rPr>
                <w:rFonts w:hint="eastAsia" w:ascii="宋体" w:hAnsi="宋体" w:eastAsia="宋体" w:cs="宋体"/>
                <w:color w:val="000000"/>
                <w:highlight w:val="none"/>
              </w:rPr>
              <w:t>1.0</w:t>
            </w:r>
            <w:r>
              <w:rPr>
                <w:rFonts w:hint="eastAsia" w:ascii="宋体" w:hAnsi="宋体" w:eastAsia="宋体" w:cs="宋体"/>
                <w:color w:val="000000"/>
                <w:highlight w:val="none"/>
                <w:lang w:val="en-US" w:eastAsia="zh-CN"/>
              </w:rPr>
              <w:t>267</w:t>
            </w:r>
          </w:p>
        </w:tc>
        <w:tc>
          <w:tcPr>
            <w:tcW w:w="2057" w:type="dxa"/>
            <w:shd w:val="clear" w:color="auto" w:fill="auto"/>
            <w:vAlign w:val="center"/>
          </w:tcPr>
          <w:p>
            <w:pPr>
              <w:pStyle w:val="33"/>
              <w:rPr>
                <w:rFonts w:hint="eastAsia" w:ascii="宋体" w:hAnsi="宋体" w:eastAsia="宋体" w:cs="宋体"/>
                <w:color w:val="000000"/>
                <w:kern w:val="2"/>
                <w:highlight w:val="none"/>
              </w:rPr>
            </w:pPr>
            <w:r>
              <w:rPr>
                <w:rFonts w:hint="eastAsia" w:ascii="宋体" w:hAnsi="宋体" w:eastAsia="宋体" w:cs="宋体"/>
                <w:color w:val="000000"/>
                <w:highlight w:val="none"/>
              </w:rPr>
              <w:t>5</w:t>
            </w:r>
            <w:r>
              <w:rPr>
                <w:rFonts w:hint="eastAsia" w:ascii="宋体" w:hAnsi="宋体" w:eastAsia="宋体" w:cs="宋体"/>
                <w:color w:val="000000"/>
                <w:highlight w:val="none"/>
                <w:lang w:val="en-US" w:eastAsia="zh-CN"/>
              </w:rPr>
              <w:t>,</w:t>
            </w:r>
            <w:r>
              <w:rPr>
                <w:rFonts w:hint="eastAsia" w:ascii="宋体" w:hAnsi="宋体" w:eastAsia="宋体" w:cs="宋体"/>
                <w:color w:val="000000"/>
                <w:highlight w:val="none"/>
              </w:rPr>
              <w:t>732</w:t>
            </w:r>
            <w:r>
              <w:rPr>
                <w:rFonts w:hint="eastAsia" w:ascii="宋体" w:hAnsi="宋体" w:eastAsia="宋体" w:cs="宋体"/>
                <w:color w:val="000000"/>
                <w:highlight w:val="none"/>
                <w:lang w:val="en-US" w:eastAsia="zh-CN"/>
              </w:rPr>
              <w:t>,</w:t>
            </w:r>
            <w:r>
              <w:rPr>
                <w:rFonts w:hint="eastAsia" w:ascii="宋体" w:hAnsi="宋体" w:eastAsia="宋体" w:cs="宋体"/>
                <w:color w:val="000000"/>
                <w:highlight w:val="none"/>
              </w:rPr>
              <w:t>428</w:t>
            </w:r>
            <w:r>
              <w:rPr>
                <w:rFonts w:hint="eastAsia" w:ascii="宋体" w:hAnsi="宋体" w:eastAsia="宋体" w:cs="宋体"/>
                <w:color w:val="000000"/>
                <w:highlight w:val="none"/>
                <w:lang w:val="en-US" w:eastAsia="zh-CN"/>
              </w:rPr>
              <w:t>,</w:t>
            </w:r>
            <w:r>
              <w:rPr>
                <w:rFonts w:hint="eastAsia" w:ascii="宋体" w:hAnsi="宋体" w:eastAsia="宋体" w:cs="宋体"/>
                <w:color w:val="000000"/>
                <w:highlight w:val="none"/>
              </w:rPr>
              <w:t>275.81</w:t>
            </w:r>
          </w:p>
        </w:tc>
        <w:tc>
          <w:tcPr>
            <w:tcW w:w="2218" w:type="dxa"/>
            <w:shd w:val="clear" w:color="auto" w:fill="auto"/>
            <w:vAlign w:val="center"/>
          </w:tcPr>
          <w:p>
            <w:pPr>
              <w:pStyle w:val="33"/>
              <w:rPr>
                <w:rFonts w:hint="eastAsia" w:ascii="宋体" w:hAnsi="宋体" w:eastAsia="宋体" w:cs="宋体"/>
                <w:color w:val="000000"/>
                <w:kern w:val="2"/>
                <w:highlight w:val="none"/>
              </w:rPr>
            </w:pPr>
            <w:r>
              <w:rPr>
                <w:rFonts w:hint="eastAsia" w:ascii="宋体" w:hAnsi="宋体" w:eastAsia="宋体" w:cs="宋体"/>
                <w:color w:val="000000"/>
                <w:kern w:val="2"/>
                <w:highlight w:val="none"/>
              </w:rPr>
              <w:t>4.4</w:t>
            </w:r>
            <w:r>
              <w:rPr>
                <w:rFonts w:hint="eastAsia" w:ascii="宋体" w:hAnsi="宋体" w:eastAsia="宋体" w:cs="宋体"/>
                <w:color w:val="000000"/>
                <w:kern w:val="2"/>
                <w:highlight w:val="none"/>
                <w:lang w:val="en-US" w:eastAsia="zh-CN"/>
              </w:rPr>
              <w:t>7</w:t>
            </w:r>
            <w:r>
              <w:rPr>
                <w:rFonts w:hint="eastAsia" w:ascii="宋体" w:hAnsi="宋体" w:eastAsia="宋体" w:cs="宋体"/>
                <w:color w:val="000000"/>
                <w:kern w:val="2"/>
                <w:highlight w:val="none"/>
              </w:rPr>
              <w:t>%</w:t>
            </w:r>
          </w:p>
        </w:tc>
      </w:tr>
    </w:tbl>
    <w:p>
      <w:pPr>
        <w:pStyle w:val="8"/>
        <w:rPr>
          <w:rFonts w:hint="eastAsia" w:ascii="宋体" w:hAnsi="宋体" w:eastAsia="宋体" w:cs="宋体"/>
          <w:b/>
          <w:color w:val="000000"/>
          <w:highlight w:val="none"/>
        </w:rPr>
      </w:pPr>
      <w:r>
        <w:rPr>
          <w:rFonts w:hint="eastAsia" w:ascii="宋体" w:hAnsi="宋体" w:eastAsia="宋体" w:cs="宋体"/>
          <w:b/>
          <w:color w:val="000000"/>
          <w:highlight w:val="none"/>
        </w:rPr>
        <w:t>3.3.2 报告期内产品收益分配情况</w:t>
      </w:r>
    </w:p>
    <w:p>
      <w:pPr>
        <w:pStyle w:val="33"/>
        <w:jc w:val="right"/>
        <w:rPr>
          <w:rFonts w:hint="eastAsia" w:ascii="宋体" w:hAnsi="宋体" w:eastAsia="宋体" w:cs="宋体"/>
          <w:color w:val="000000"/>
          <w:kern w:val="2"/>
          <w:highlight w:val="none"/>
        </w:rPr>
      </w:pPr>
      <w:r>
        <w:rPr>
          <w:rFonts w:hint="eastAsia" w:ascii="宋体" w:hAnsi="宋体" w:eastAsia="宋体" w:cs="宋体"/>
          <w:color w:val="000000"/>
          <w:kern w:val="2"/>
          <w:highlight w:val="none"/>
        </w:rPr>
        <w:t>金额单位：</w:t>
      </w:r>
      <w:r>
        <w:rPr>
          <w:rFonts w:hint="eastAsia" w:ascii="宋体" w:hAnsi="宋体" w:eastAsia="宋体" w:cs="宋体"/>
          <w:color w:val="000000"/>
          <w:sz w:val="24"/>
          <w:highlight w:val="none"/>
        </w:rPr>
        <w:t>人民币元</w:t>
      </w:r>
    </w:p>
    <w:tbl>
      <w:tblPr>
        <w:tblStyle w:val="13"/>
        <w:tblW w:w="83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7"/>
        <w:gridCol w:w="1397"/>
        <w:gridCol w:w="1397"/>
        <w:gridCol w:w="1397"/>
        <w:gridCol w:w="1397"/>
        <w:gridCol w:w="1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pacing w:line="288" w:lineRule="auto"/>
              <w:jc w:val="center"/>
              <w:rPr>
                <w:rFonts w:hint="eastAsia" w:ascii="宋体" w:hAnsi="宋体" w:eastAsia="宋体" w:cs="宋体"/>
                <w:b/>
                <w:bCs/>
                <w:color w:val="000000"/>
                <w:kern w:val="0"/>
                <w:sz w:val="22"/>
                <w:szCs w:val="20"/>
                <w:highlight w:val="none"/>
              </w:rPr>
            </w:pPr>
            <w:r>
              <w:rPr>
                <w:rFonts w:hint="eastAsia" w:ascii="宋体" w:hAnsi="宋体" w:eastAsia="宋体" w:cs="宋体"/>
                <w:b/>
                <w:bCs/>
                <w:color w:val="000000"/>
                <w:kern w:val="0"/>
                <w:sz w:val="22"/>
                <w:szCs w:val="20"/>
                <w:highlight w:val="none"/>
              </w:rPr>
              <w:t>销售代码</w:t>
            </w:r>
          </w:p>
        </w:tc>
        <w:tc>
          <w:tcPr>
            <w:tcW w:w="1397" w:type="dxa"/>
            <w:shd w:val="clear" w:color="auto" w:fill="auto"/>
            <w:vAlign w:val="center"/>
          </w:tcPr>
          <w:p>
            <w:pPr>
              <w:spacing w:line="288" w:lineRule="auto"/>
              <w:jc w:val="center"/>
              <w:rPr>
                <w:rFonts w:hint="eastAsia" w:ascii="宋体" w:hAnsi="宋体" w:eastAsia="宋体" w:cs="宋体"/>
                <w:b/>
                <w:bCs/>
                <w:color w:val="000000"/>
                <w:kern w:val="0"/>
                <w:sz w:val="22"/>
                <w:szCs w:val="20"/>
                <w:highlight w:val="none"/>
              </w:rPr>
            </w:pPr>
            <w:r>
              <w:rPr>
                <w:rFonts w:hint="eastAsia" w:ascii="宋体" w:hAnsi="宋体" w:eastAsia="宋体" w:cs="宋体"/>
                <w:b/>
                <w:bCs/>
                <w:color w:val="000000"/>
                <w:kern w:val="0"/>
                <w:sz w:val="22"/>
                <w:szCs w:val="20"/>
                <w:highlight w:val="none"/>
              </w:rPr>
              <w:t>收益分配</w:t>
            </w:r>
          </w:p>
          <w:p>
            <w:pPr>
              <w:spacing w:line="288" w:lineRule="auto"/>
              <w:jc w:val="center"/>
              <w:rPr>
                <w:rFonts w:hint="eastAsia" w:ascii="宋体" w:hAnsi="宋体" w:eastAsia="宋体" w:cs="宋体"/>
                <w:b/>
                <w:bCs/>
                <w:color w:val="000000"/>
                <w:kern w:val="0"/>
                <w:sz w:val="22"/>
                <w:szCs w:val="20"/>
                <w:highlight w:val="none"/>
              </w:rPr>
            </w:pPr>
            <w:r>
              <w:rPr>
                <w:rFonts w:hint="eastAsia" w:ascii="宋体" w:hAnsi="宋体" w:eastAsia="宋体" w:cs="宋体"/>
                <w:b/>
                <w:bCs/>
                <w:color w:val="000000"/>
                <w:kern w:val="0"/>
                <w:sz w:val="22"/>
                <w:szCs w:val="20"/>
                <w:highlight w:val="none"/>
              </w:rPr>
              <w:t>基准日</w:t>
            </w:r>
          </w:p>
        </w:tc>
        <w:tc>
          <w:tcPr>
            <w:tcW w:w="1397" w:type="dxa"/>
            <w:shd w:val="clear" w:color="auto" w:fill="auto"/>
            <w:vAlign w:val="center"/>
          </w:tcPr>
          <w:p>
            <w:pPr>
              <w:spacing w:line="288" w:lineRule="auto"/>
              <w:jc w:val="center"/>
              <w:rPr>
                <w:rFonts w:hint="eastAsia" w:ascii="宋体" w:hAnsi="宋体" w:eastAsia="宋体" w:cs="宋体"/>
                <w:b/>
                <w:bCs/>
                <w:color w:val="000000"/>
                <w:kern w:val="0"/>
                <w:sz w:val="22"/>
                <w:szCs w:val="20"/>
                <w:highlight w:val="none"/>
              </w:rPr>
            </w:pPr>
            <w:r>
              <w:rPr>
                <w:rFonts w:hint="eastAsia" w:ascii="宋体" w:hAnsi="宋体" w:eastAsia="宋体" w:cs="宋体"/>
                <w:b/>
                <w:bCs/>
                <w:color w:val="000000"/>
                <w:kern w:val="0"/>
                <w:sz w:val="22"/>
                <w:szCs w:val="20"/>
                <w:highlight w:val="none"/>
              </w:rPr>
              <w:t>权益</w:t>
            </w:r>
          </w:p>
          <w:p>
            <w:pPr>
              <w:spacing w:line="288" w:lineRule="auto"/>
              <w:jc w:val="center"/>
              <w:rPr>
                <w:rFonts w:hint="eastAsia" w:ascii="宋体" w:hAnsi="宋体" w:eastAsia="宋体" w:cs="宋体"/>
                <w:b/>
                <w:bCs/>
                <w:color w:val="000000"/>
                <w:kern w:val="0"/>
                <w:sz w:val="22"/>
                <w:szCs w:val="20"/>
                <w:highlight w:val="none"/>
              </w:rPr>
            </w:pPr>
            <w:r>
              <w:rPr>
                <w:rFonts w:hint="eastAsia" w:ascii="宋体" w:hAnsi="宋体" w:eastAsia="宋体" w:cs="宋体"/>
                <w:b/>
                <w:bCs/>
                <w:color w:val="000000"/>
                <w:kern w:val="0"/>
                <w:sz w:val="22"/>
                <w:szCs w:val="20"/>
                <w:highlight w:val="none"/>
              </w:rPr>
              <w:t>登记日</w:t>
            </w:r>
          </w:p>
        </w:tc>
        <w:tc>
          <w:tcPr>
            <w:tcW w:w="1397" w:type="dxa"/>
            <w:shd w:val="clear" w:color="auto" w:fill="auto"/>
            <w:vAlign w:val="center"/>
          </w:tcPr>
          <w:p>
            <w:pPr>
              <w:spacing w:line="288" w:lineRule="auto"/>
              <w:jc w:val="center"/>
              <w:rPr>
                <w:rFonts w:hint="eastAsia" w:ascii="宋体" w:hAnsi="宋体" w:eastAsia="宋体" w:cs="宋体"/>
                <w:b/>
                <w:bCs/>
                <w:color w:val="000000"/>
                <w:kern w:val="0"/>
                <w:sz w:val="22"/>
                <w:szCs w:val="20"/>
                <w:highlight w:val="none"/>
              </w:rPr>
            </w:pPr>
            <w:r>
              <w:rPr>
                <w:rFonts w:hint="eastAsia" w:ascii="宋体" w:hAnsi="宋体" w:eastAsia="宋体" w:cs="宋体"/>
                <w:b/>
                <w:bCs/>
                <w:color w:val="000000"/>
                <w:kern w:val="0"/>
                <w:sz w:val="22"/>
                <w:szCs w:val="20"/>
                <w:highlight w:val="none"/>
              </w:rPr>
              <w:t>除息日</w:t>
            </w:r>
          </w:p>
        </w:tc>
        <w:tc>
          <w:tcPr>
            <w:tcW w:w="1397" w:type="dxa"/>
            <w:shd w:val="clear" w:color="auto" w:fill="auto"/>
            <w:vAlign w:val="center"/>
          </w:tcPr>
          <w:p>
            <w:pPr>
              <w:spacing w:line="288" w:lineRule="auto"/>
              <w:jc w:val="center"/>
              <w:rPr>
                <w:rFonts w:hint="eastAsia" w:ascii="宋体" w:hAnsi="宋体" w:eastAsia="宋体" w:cs="宋体"/>
                <w:b/>
                <w:bCs/>
                <w:color w:val="000000"/>
                <w:kern w:val="0"/>
                <w:sz w:val="22"/>
                <w:szCs w:val="20"/>
                <w:highlight w:val="none"/>
              </w:rPr>
            </w:pPr>
            <w:r>
              <w:rPr>
                <w:rFonts w:hint="eastAsia" w:ascii="宋体" w:hAnsi="宋体" w:eastAsia="宋体" w:cs="宋体"/>
                <w:b/>
                <w:bCs/>
                <w:color w:val="000000"/>
                <w:kern w:val="0"/>
                <w:sz w:val="22"/>
                <w:szCs w:val="20"/>
                <w:highlight w:val="none"/>
              </w:rPr>
              <w:t>红利</w:t>
            </w:r>
          </w:p>
          <w:p>
            <w:pPr>
              <w:spacing w:line="288" w:lineRule="auto"/>
              <w:jc w:val="center"/>
              <w:rPr>
                <w:rFonts w:hint="eastAsia" w:ascii="宋体" w:hAnsi="宋体" w:eastAsia="宋体" w:cs="宋体"/>
                <w:b/>
                <w:bCs/>
                <w:color w:val="000000"/>
                <w:kern w:val="0"/>
                <w:sz w:val="22"/>
                <w:szCs w:val="20"/>
                <w:highlight w:val="none"/>
              </w:rPr>
            </w:pPr>
            <w:r>
              <w:rPr>
                <w:rFonts w:hint="eastAsia" w:ascii="宋体" w:hAnsi="宋体" w:eastAsia="宋体" w:cs="宋体"/>
                <w:b/>
                <w:bCs/>
                <w:color w:val="000000"/>
                <w:kern w:val="0"/>
                <w:sz w:val="22"/>
                <w:szCs w:val="20"/>
                <w:highlight w:val="none"/>
              </w:rPr>
              <w:t>发放日</w:t>
            </w:r>
          </w:p>
        </w:tc>
        <w:tc>
          <w:tcPr>
            <w:tcW w:w="1398" w:type="dxa"/>
            <w:shd w:val="clear" w:color="auto" w:fill="auto"/>
            <w:vAlign w:val="center"/>
          </w:tcPr>
          <w:p>
            <w:pPr>
              <w:spacing w:line="288" w:lineRule="auto"/>
              <w:jc w:val="center"/>
              <w:rPr>
                <w:rFonts w:hint="eastAsia" w:ascii="宋体" w:hAnsi="宋体" w:eastAsia="宋体" w:cs="宋体"/>
                <w:b/>
                <w:bCs/>
                <w:color w:val="000000"/>
                <w:kern w:val="0"/>
                <w:sz w:val="22"/>
                <w:szCs w:val="20"/>
                <w:highlight w:val="none"/>
              </w:rPr>
            </w:pPr>
            <w:r>
              <w:rPr>
                <w:rFonts w:hint="eastAsia" w:ascii="宋体" w:hAnsi="宋体" w:eastAsia="宋体" w:cs="宋体"/>
                <w:b/>
                <w:bCs/>
                <w:color w:val="000000"/>
                <w:kern w:val="0"/>
                <w:sz w:val="22"/>
                <w:szCs w:val="20"/>
                <w:highlight w:val="none"/>
              </w:rPr>
              <w:t>每10份额现金分红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pStyle w:val="33"/>
              <w:rPr>
                <w:rFonts w:ascii="宋体" w:hAnsi="宋体" w:eastAsia="宋体"/>
                <w:b/>
                <w:color w:val="000000"/>
                <w:kern w:val="2"/>
                <w:highlight w:val="none"/>
              </w:rPr>
            </w:pPr>
            <w:r>
              <w:rPr>
                <w:rFonts w:hint="eastAsia" w:ascii="宋体" w:hAnsi="宋体" w:eastAsia="宋体"/>
                <w:b/>
                <w:color w:val="000000"/>
                <w:kern w:val="2"/>
                <w:highlight w:val="none"/>
              </w:rPr>
              <w:t>-</w:t>
            </w:r>
          </w:p>
        </w:tc>
        <w:tc>
          <w:tcPr>
            <w:tcW w:w="1397" w:type="dxa"/>
            <w:shd w:val="clear" w:color="auto" w:fill="auto"/>
            <w:vAlign w:val="center"/>
          </w:tcPr>
          <w:p>
            <w:pPr>
              <w:pStyle w:val="33"/>
              <w:rPr>
                <w:rFonts w:ascii="宋体" w:hAnsi="宋体" w:eastAsia="宋体"/>
                <w:color w:val="000000"/>
                <w:kern w:val="2"/>
                <w:highlight w:val="none"/>
              </w:rPr>
            </w:pPr>
            <w:r>
              <w:rPr>
                <w:rFonts w:hint="eastAsia" w:ascii="宋体" w:hAnsi="宋体" w:eastAsia="宋体"/>
                <w:color w:val="000000"/>
                <w:kern w:val="2"/>
                <w:highlight w:val="none"/>
              </w:rPr>
              <w:t>-</w:t>
            </w:r>
          </w:p>
        </w:tc>
        <w:tc>
          <w:tcPr>
            <w:tcW w:w="1397" w:type="dxa"/>
            <w:shd w:val="clear" w:color="auto" w:fill="auto"/>
            <w:vAlign w:val="center"/>
          </w:tcPr>
          <w:p>
            <w:pPr>
              <w:pStyle w:val="33"/>
              <w:rPr>
                <w:rFonts w:ascii="宋体" w:hAnsi="宋体" w:eastAsia="宋体"/>
                <w:color w:val="000000"/>
                <w:kern w:val="2"/>
                <w:highlight w:val="none"/>
              </w:rPr>
            </w:pPr>
            <w:r>
              <w:rPr>
                <w:rFonts w:hint="eastAsia" w:ascii="宋体" w:hAnsi="宋体" w:eastAsia="宋体"/>
                <w:color w:val="000000"/>
                <w:kern w:val="2"/>
                <w:highlight w:val="none"/>
              </w:rPr>
              <w:t>-</w:t>
            </w:r>
          </w:p>
        </w:tc>
        <w:tc>
          <w:tcPr>
            <w:tcW w:w="1397" w:type="dxa"/>
            <w:shd w:val="clear" w:color="auto" w:fill="auto"/>
            <w:vAlign w:val="center"/>
          </w:tcPr>
          <w:p>
            <w:pPr>
              <w:pStyle w:val="33"/>
              <w:rPr>
                <w:rFonts w:ascii="宋体" w:hAnsi="宋体" w:eastAsia="宋体"/>
                <w:color w:val="000000"/>
                <w:kern w:val="2"/>
                <w:highlight w:val="none"/>
              </w:rPr>
            </w:pPr>
            <w:r>
              <w:rPr>
                <w:rFonts w:hint="eastAsia" w:ascii="宋体" w:hAnsi="宋体" w:eastAsia="宋体"/>
                <w:color w:val="000000"/>
                <w:kern w:val="2"/>
                <w:highlight w:val="none"/>
              </w:rPr>
              <w:t>-</w:t>
            </w:r>
          </w:p>
        </w:tc>
        <w:tc>
          <w:tcPr>
            <w:tcW w:w="1397" w:type="dxa"/>
            <w:shd w:val="clear" w:color="auto" w:fill="auto"/>
            <w:vAlign w:val="center"/>
          </w:tcPr>
          <w:p>
            <w:pPr>
              <w:pStyle w:val="33"/>
              <w:rPr>
                <w:rFonts w:ascii="宋体" w:hAnsi="宋体" w:eastAsia="宋体"/>
                <w:color w:val="000000"/>
                <w:kern w:val="2"/>
                <w:highlight w:val="none"/>
              </w:rPr>
            </w:pPr>
            <w:r>
              <w:rPr>
                <w:rFonts w:hint="eastAsia" w:ascii="宋体" w:hAnsi="宋体" w:eastAsia="宋体"/>
                <w:color w:val="000000"/>
                <w:kern w:val="2"/>
                <w:highlight w:val="none"/>
              </w:rPr>
              <w:t>-</w:t>
            </w:r>
          </w:p>
        </w:tc>
        <w:tc>
          <w:tcPr>
            <w:tcW w:w="1398" w:type="dxa"/>
            <w:shd w:val="clear" w:color="auto" w:fill="auto"/>
            <w:vAlign w:val="center"/>
          </w:tcPr>
          <w:p>
            <w:pPr>
              <w:pStyle w:val="33"/>
              <w:rPr>
                <w:rFonts w:ascii="宋体" w:hAnsi="宋体" w:eastAsia="宋体"/>
                <w:color w:val="000000"/>
                <w:kern w:val="2"/>
                <w:highlight w:val="none"/>
              </w:rPr>
            </w:pPr>
            <w:r>
              <w:rPr>
                <w:rFonts w:hint="eastAsia" w:ascii="宋体" w:hAnsi="宋体" w:eastAsia="宋体"/>
                <w:color w:val="000000"/>
                <w:kern w:val="2"/>
                <w:highlight w:val="none"/>
              </w:rPr>
              <w:t>-</w:t>
            </w:r>
          </w:p>
        </w:tc>
      </w:tr>
    </w:tbl>
    <w:p>
      <w:pPr>
        <w:widowControl/>
        <w:jc w:val="left"/>
        <w:rPr>
          <w:rFonts w:ascii="宋体" w:hAnsi="宋体" w:cs="宋体"/>
          <w:color w:val="000000"/>
          <w:kern w:val="0"/>
          <w:sz w:val="24"/>
          <w:szCs w:val="24"/>
        </w:rPr>
      </w:pPr>
    </w:p>
    <w:p>
      <w:pPr>
        <w:pStyle w:val="26"/>
        <w:rPr>
          <w:rFonts w:hAnsi="Calibri"/>
          <w:b/>
          <w:color w:val="000000"/>
        </w:rPr>
      </w:pPr>
      <w:r>
        <w:rPr>
          <w:rFonts w:hint="eastAsia" w:hAnsi="Calibri"/>
          <w:b/>
          <w:color w:val="000000"/>
        </w:rPr>
        <w:t>§4  托管人报告</w:t>
      </w:r>
    </w:p>
    <w:p>
      <w:pPr>
        <w:pStyle w:val="26"/>
        <w:rPr>
          <w:rFonts w:hAnsi="Calibri"/>
          <w:b/>
          <w:color w:val="000000"/>
        </w:rPr>
      </w:pPr>
    </w:p>
    <w:p>
      <w:pPr>
        <w:pStyle w:val="8"/>
        <w:rPr>
          <w:b/>
          <w:color w:val="000000"/>
        </w:rPr>
      </w:pPr>
      <w:r>
        <w:rPr>
          <w:rFonts w:hint="eastAsia"/>
          <w:b/>
          <w:color w:val="000000"/>
        </w:rPr>
        <w:t>4.1报告期内托管人遵规守信情况声明</w:t>
      </w:r>
    </w:p>
    <w:p>
      <w:pPr>
        <w:pStyle w:val="25"/>
        <w:spacing w:line="360" w:lineRule="auto"/>
        <w:ind w:firstLine="480" w:firstLineChars="200"/>
        <w:rPr>
          <w:rFonts w:cs="Times New Roman"/>
          <w:b/>
          <w:color w:val="000000"/>
        </w:rPr>
      </w:pPr>
      <w:bookmarkStart w:id="0" w:name="_Hlk65766326"/>
      <w:bookmarkStart w:id="1" w:name="_Hlk65770268"/>
      <w:r>
        <w:rPr>
          <w:rFonts w:hint="eastAsia"/>
        </w:rPr>
        <w:t>在托管本产品的过程中，本产品托管人南京银行股份有限公司严格遵守《商业银行理财业务监督管理办法》相关法律法规的规定以及产品说明书的约定，对本产品管理人</w:t>
      </w:r>
      <w:r>
        <w:t>—</w:t>
      </w:r>
      <w:r>
        <w:rPr>
          <w:rFonts w:hint="eastAsia"/>
        </w:rPr>
        <w:t>南银理财有限责任公司</w:t>
      </w:r>
      <w:r>
        <w:t>2020</w:t>
      </w:r>
      <w:r>
        <w:rPr>
          <w:rFonts w:hint="eastAsia"/>
        </w:rPr>
        <w:t>年</w:t>
      </w:r>
      <w:r>
        <w:t>0</w:t>
      </w:r>
      <w:r>
        <w:rPr>
          <w:rFonts w:hint="eastAsia"/>
        </w:rPr>
        <w:t>5月28日至</w:t>
      </w:r>
      <w:r>
        <w:t>2020</w:t>
      </w:r>
      <w:r>
        <w:rPr>
          <w:rFonts w:hint="eastAsia"/>
        </w:rPr>
        <w:t>年</w:t>
      </w:r>
      <w:r>
        <w:t>12</w:t>
      </w:r>
      <w:r>
        <w:rPr>
          <w:rFonts w:hint="eastAsia"/>
        </w:rPr>
        <w:t>月</w:t>
      </w:r>
      <w:r>
        <w:t>31</w:t>
      </w:r>
      <w:r>
        <w:rPr>
          <w:rFonts w:hint="eastAsia"/>
        </w:rPr>
        <w:t>日产品的投资运作，进行了认真、独立的会计核算和必要的投资监督，认真履行了托管人的义务，没有从事任何损害产品份额持有人利益的行为。</w:t>
      </w:r>
      <w:bookmarkEnd w:id="0"/>
      <w:bookmarkEnd w:id="1"/>
    </w:p>
    <w:p>
      <w:pPr>
        <w:pStyle w:val="25"/>
        <w:spacing w:line="360" w:lineRule="auto"/>
        <w:rPr>
          <w:rFonts w:cs="Times New Roman"/>
          <w:b/>
          <w:color w:val="000000"/>
        </w:rPr>
      </w:pPr>
      <w:r>
        <w:rPr>
          <w:rFonts w:hint="eastAsia" w:cs="Times New Roman"/>
          <w:b/>
          <w:color w:val="000000"/>
        </w:rPr>
        <w:t>4.2 托管人对报告期内投资运作遵规守信、净值计算、利润分配等情况的说明</w:t>
      </w:r>
    </w:p>
    <w:p>
      <w:pPr>
        <w:pStyle w:val="25"/>
        <w:spacing w:line="360" w:lineRule="auto"/>
        <w:ind w:firstLine="480"/>
        <w:rPr>
          <w:color w:val="000000"/>
        </w:rPr>
      </w:pPr>
      <w:bookmarkStart w:id="2" w:name="_Hlk65769865"/>
      <w:r>
        <w:rPr>
          <w:rFonts w:hint="eastAsia"/>
        </w:rPr>
        <w:t>本托管人认为，南京银行股份有限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bookmarkEnd w:id="2"/>
    </w:p>
    <w:p>
      <w:pPr>
        <w:pStyle w:val="25"/>
        <w:spacing w:line="360" w:lineRule="auto"/>
        <w:rPr>
          <w:rFonts w:cs="Times New Roman"/>
          <w:b/>
          <w:color w:val="000000"/>
        </w:rPr>
      </w:pPr>
      <w:r>
        <w:rPr>
          <w:rFonts w:hint="eastAsia" w:cs="Times New Roman"/>
          <w:b/>
          <w:color w:val="000000"/>
        </w:rPr>
        <w:t>4.3 托管人对本年度报告中财务信息等内容的真实、准确和完整发表意见</w:t>
      </w:r>
    </w:p>
    <w:p>
      <w:pPr>
        <w:pStyle w:val="25"/>
        <w:spacing w:line="360" w:lineRule="auto"/>
        <w:ind w:firstLine="480"/>
      </w:pPr>
      <w:bookmarkStart w:id="3" w:name="_Hlk65769872"/>
      <w:r>
        <w:rPr>
          <w:rFonts w:hint="eastAsia"/>
        </w:rPr>
        <w:t>本托管人认为，南京银行股份有限公司的信息披露事务符合《商业银行理财业务监督管理办法》及其他相关法律法规的规定，产品管理人所编制和披露的本产品年度报告中的财务指标、净值表现、财务会计报告、投资组合报告等信息真实、准确、完整，未发现有损害产品持有人利益的行为。</w:t>
      </w:r>
      <w:bookmarkEnd w:id="3"/>
    </w:p>
    <w:p>
      <w:pPr>
        <w:pStyle w:val="25"/>
        <w:spacing w:line="360" w:lineRule="auto"/>
        <w:ind w:firstLine="480"/>
        <w:rPr>
          <w:color w:val="000000"/>
        </w:rPr>
      </w:pPr>
    </w:p>
    <w:p>
      <w:pPr>
        <w:pStyle w:val="26"/>
        <w:rPr>
          <w:color w:val="000000"/>
        </w:rPr>
      </w:pPr>
      <w:r>
        <w:rPr>
          <w:rFonts w:hint="eastAsia" w:hAnsi="Calibri"/>
          <w:b/>
          <w:color w:val="000000"/>
        </w:rPr>
        <w:t>§</w:t>
      </w:r>
      <w:r>
        <w:rPr>
          <w:rFonts w:hint="eastAsia" w:hAnsi="Calibri"/>
          <w:b/>
          <w:color w:val="000000"/>
          <w:lang w:val="en-US" w:eastAsia="zh-CN"/>
        </w:rPr>
        <w:t>5</w:t>
      </w:r>
      <w:r>
        <w:rPr>
          <w:rFonts w:hint="eastAsia" w:hAnsi="Calibri"/>
          <w:b/>
          <w:color w:val="000000"/>
        </w:rPr>
        <w:t xml:space="preserve">  投资组合报告</w:t>
      </w:r>
    </w:p>
    <w:p>
      <w:pPr>
        <w:widowControl/>
        <w:jc w:val="left"/>
        <w:rPr>
          <w:rFonts w:ascii="宋体" w:hAnsi="宋体" w:cs="宋体"/>
          <w:color w:val="000000"/>
          <w:kern w:val="0"/>
          <w:sz w:val="24"/>
          <w:szCs w:val="24"/>
        </w:rPr>
      </w:pPr>
    </w:p>
    <w:p>
      <w:pPr>
        <w:pStyle w:val="20"/>
        <w:ind w:left="0"/>
      </w:pPr>
      <w:r>
        <w:rPr>
          <w:rFonts w:hint="eastAsia"/>
          <w:b/>
          <w:bCs/>
          <w:color w:val="000000"/>
          <w:lang w:val="en-US" w:eastAsia="zh-CN"/>
        </w:rPr>
        <w:t>5</w:t>
      </w:r>
      <w:r>
        <w:rPr>
          <w:rFonts w:hint="eastAsia"/>
          <w:b/>
          <w:bCs/>
          <w:color w:val="000000"/>
        </w:rPr>
        <w:t xml:space="preserve">.1 </w:t>
      </w:r>
      <w:r>
        <w:rPr>
          <w:rFonts w:hint="eastAsia"/>
          <w:b/>
          <w:bCs/>
        </w:rPr>
        <w:t>报告期末产品资产组合情况</w:t>
      </w:r>
    </w:p>
    <w:p>
      <w:pPr>
        <w:pStyle w:val="20"/>
        <w:ind w:left="0"/>
      </w:pPr>
    </w:p>
    <w:tbl>
      <w:tblPr>
        <w:tblStyle w:val="13"/>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100.00%</w:t>
            </w:r>
          </w:p>
        </w:tc>
      </w:tr>
    </w:tbl>
    <w:p>
      <w:pPr>
        <w:widowControl/>
        <w:jc w:val="left"/>
        <w:rPr>
          <w:rFonts w:ascii="宋体" w:hAnsi="宋体" w:cs="宋体"/>
          <w:color w:val="000000"/>
          <w:kern w:val="0"/>
          <w:sz w:val="24"/>
          <w:szCs w:val="24"/>
        </w:rPr>
      </w:pPr>
    </w:p>
    <w:p>
      <w:pPr>
        <w:pStyle w:val="20"/>
        <w:rPr>
          <w:b/>
          <w:bCs/>
          <w:color w:val="000000"/>
        </w:rPr>
      </w:pPr>
      <w:r>
        <w:rPr>
          <w:rFonts w:hint="eastAsia"/>
          <w:b/>
          <w:bCs/>
          <w:color w:val="000000"/>
          <w:lang w:val="en-US" w:eastAsia="zh-CN"/>
        </w:rPr>
        <w:t>5</w:t>
      </w:r>
      <w:r>
        <w:rPr>
          <w:rFonts w:hint="eastAsia"/>
          <w:b/>
          <w:bCs/>
          <w:color w:val="000000"/>
        </w:rPr>
        <w:t>.2 报告期末按公允价值资产净值比例大小排序的前十名资产投资明细</w:t>
      </w:r>
    </w:p>
    <w:tbl>
      <w:tblPr>
        <w:tblStyle w:val="13"/>
        <w:tblW w:w="8800" w:type="dxa"/>
        <w:tblInd w:w="93" w:type="dxa"/>
        <w:tblLayout w:type="fixed"/>
        <w:tblCellMar>
          <w:top w:w="0" w:type="dxa"/>
          <w:left w:w="108" w:type="dxa"/>
          <w:bottom w:w="0" w:type="dxa"/>
          <w:right w:w="108" w:type="dxa"/>
        </w:tblCellMar>
      </w:tblPr>
      <w:tblGrid>
        <w:gridCol w:w="582"/>
        <w:gridCol w:w="1728"/>
        <w:gridCol w:w="2690"/>
        <w:gridCol w:w="2035"/>
        <w:gridCol w:w="1765"/>
      </w:tblGrid>
      <w:tr>
        <w:tblPrEx>
          <w:tblLayout w:type="fixed"/>
          <w:tblCellMar>
            <w:top w:w="0" w:type="dxa"/>
            <w:left w:w="108" w:type="dxa"/>
            <w:bottom w:w="0" w:type="dxa"/>
            <w:right w:w="108" w:type="dxa"/>
          </w:tblCellMar>
        </w:tblPrEx>
        <w:trPr>
          <w:trHeight w:val="870" w:hRule="atLeast"/>
        </w:trPr>
        <w:tc>
          <w:tcPr>
            <w:tcW w:w="582" w:type="dxa"/>
            <w:tcBorders>
              <w:top w:val="single" w:color="000000" w:sz="8" w:space="0"/>
              <w:left w:val="single" w:color="000000" w:sz="8" w:space="0"/>
              <w:bottom w:val="single" w:color="000000" w:sz="8" w:space="0"/>
              <w:right w:val="single" w:color="000000" w:sz="8" w:space="0"/>
            </w:tcBorders>
            <w:vAlign w:val="center"/>
          </w:tcPr>
          <w:p>
            <w:pPr>
              <w:pStyle w:val="23"/>
              <w:rPr>
                <w:color w:val="000000"/>
              </w:rPr>
            </w:pPr>
            <w:r>
              <w:rPr>
                <w:rFonts w:hint="eastAsia"/>
                <w:color w:val="000000"/>
              </w:rPr>
              <w:t>序号</w:t>
            </w:r>
          </w:p>
        </w:tc>
        <w:tc>
          <w:tcPr>
            <w:tcW w:w="1728"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代码</w:t>
            </w:r>
          </w:p>
        </w:tc>
        <w:tc>
          <w:tcPr>
            <w:tcW w:w="2690"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名称</w:t>
            </w:r>
          </w:p>
        </w:tc>
        <w:tc>
          <w:tcPr>
            <w:tcW w:w="2035"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公允价值(元)</w:t>
            </w:r>
          </w:p>
        </w:tc>
        <w:tc>
          <w:tcPr>
            <w:tcW w:w="1765"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占产品资产净值比例（％）</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1</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200211</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20国开11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159,123,190.76</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2.78%</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2</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112011061</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20平安银行CD061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109,493,946.41</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1.91%</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3</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112010240</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20兴业银行CD240</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108,331,998.99</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1.89%</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4</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160421</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16农发21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100,056,197.84</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1.75%</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5</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167426</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20泗宏01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100,000,958.71</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1.74%</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6</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101801210</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18连云城建MTN001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100,000,534.58</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1.74%</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7</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032000884</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20六合交通PPN004</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100,000,165.38</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1.74%</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8</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1728021</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17工商银行二级01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99,999,924.09</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1.74%</w:t>
            </w:r>
          </w:p>
        </w:tc>
      </w:tr>
      <w:tr>
        <w:tblPrEx>
          <w:tblLayout w:type="fixed"/>
          <w:tblCellMar>
            <w:top w:w="0" w:type="dxa"/>
            <w:left w:w="108" w:type="dxa"/>
            <w:bottom w:w="0" w:type="dxa"/>
            <w:right w:w="108" w:type="dxa"/>
          </w:tblCellMar>
        </w:tblPrEx>
        <w:trPr>
          <w:trHeight w:val="355"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9</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012003580</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20长江开发SCP003</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99,664,330.84</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1.74%</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10</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167554</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20东泰D1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99,394,348.63</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1.73%</w:t>
            </w:r>
          </w:p>
        </w:tc>
      </w:tr>
    </w:tbl>
    <w:p>
      <w:pPr>
        <w:widowControl/>
        <w:jc w:val="left"/>
        <w:rPr>
          <w:rFonts w:ascii="宋体" w:hAnsi="宋体" w:cs="宋体"/>
          <w:b/>
          <w:sz w:val="24"/>
          <w:szCs w:val="24"/>
          <w:shd w:val="clear" w:color="auto" w:fill="FFFFFF"/>
        </w:rPr>
      </w:pPr>
    </w:p>
    <w:p>
      <w:pPr>
        <w:widowControl/>
        <w:jc w:val="left"/>
        <w:rPr>
          <w:rFonts w:ascii="宋体" w:hAnsi="宋体" w:cs="宋体"/>
          <w:b/>
          <w:sz w:val="24"/>
          <w:szCs w:val="24"/>
          <w:shd w:val="clear" w:color="auto" w:fill="FFFFFF"/>
        </w:rPr>
      </w:pPr>
      <w:r>
        <w:rPr>
          <w:rFonts w:hint="eastAsia" w:ascii="宋体" w:hAnsi="宋体" w:cs="宋体"/>
          <w:b/>
          <w:sz w:val="24"/>
          <w:szCs w:val="24"/>
          <w:shd w:val="clear" w:color="auto" w:fill="FFFFFF"/>
          <w:lang w:val="en-US" w:eastAsia="zh-CN"/>
        </w:rPr>
        <w:t>5</w:t>
      </w:r>
      <w:r>
        <w:rPr>
          <w:rFonts w:hint="eastAsia" w:ascii="宋体" w:hAnsi="宋体" w:cs="宋体"/>
          <w:b/>
          <w:sz w:val="24"/>
          <w:szCs w:val="24"/>
          <w:shd w:val="clear" w:color="auto" w:fill="FFFFFF"/>
        </w:rPr>
        <w:t>.3报告期末非标准化债权类资产明细</w:t>
      </w:r>
    </w:p>
    <w:p>
      <w:pPr>
        <w:widowControl/>
        <w:jc w:val="left"/>
        <w:rPr>
          <w:b/>
          <w:shd w:val="clear" w:color="auto" w:fill="FFFFFF"/>
        </w:rPr>
      </w:pPr>
    </w:p>
    <w:tbl>
      <w:tblPr>
        <w:tblStyle w:val="13"/>
        <w:tblW w:w="8931" w:type="dxa"/>
        <w:tblInd w:w="108" w:type="dxa"/>
        <w:tblLayout w:type="fixed"/>
        <w:tblCellMar>
          <w:top w:w="0" w:type="dxa"/>
          <w:left w:w="108" w:type="dxa"/>
          <w:bottom w:w="0" w:type="dxa"/>
          <w:right w:w="108" w:type="dxa"/>
        </w:tblCellMar>
      </w:tblPr>
      <w:tblGrid>
        <w:gridCol w:w="709"/>
        <w:gridCol w:w="1276"/>
        <w:gridCol w:w="1701"/>
        <w:gridCol w:w="1417"/>
        <w:gridCol w:w="1701"/>
        <w:gridCol w:w="1276"/>
        <w:gridCol w:w="851"/>
      </w:tblGrid>
      <w:tr>
        <w:tblPrEx>
          <w:tblLayout w:type="fixed"/>
          <w:tblCellMar>
            <w:top w:w="0" w:type="dxa"/>
            <w:left w:w="108" w:type="dxa"/>
            <w:bottom w:w="0" w:type="dxa"/>
            <w:right w:w="108" w:type="dxa"/>
          </w:tblCellMar>
        </w:tblPrEx>
        <w:tc>
          <w:tcPr>
            <w:tcW w:w="709"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hAnsi="Calibri"/>
                <w:shd w:val="clear" w:color="auto" w:fill="FFFFFF"/>
              </w:rPr>
              <w:t>序号</w:t>
            </w:r>
          </w:p>
        </w:tc>
        <w:tc>
          <w:tcPr>
            <w:tcW w:w="1276"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融资客户</w:t>
            </w:r>
          </w:p>
        </w:tc>
        <w:tc>
          <w:tcPr>
            <w:tcW w:w="1701"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hAnsi="Calibri"/>
                <w:shd w:val="clear" w:color="auto" w:fill="FFFFFF"/>
              </w:rPr>
              <w:t>项目名称</w:t>
            </w:r>
          </w:p>
        </w:tc>
        <w:tc>
          <w:tcPr>
            <w:tcW w:w="1417"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剩余融资期限</w:t>
            </w:r>
          </w:p>
        </w:tc>
        <w:tc>
          <w:tcPr>
            <w:tcW w:w="1701"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到期收益分配</w:t>
            </w:r>
          </w:p>
        </w:tc>
        <w:tc>
          <w:tcPr>
            <w:tcW w:w="1276"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交易结构</w:t>
            </w:r>
          </w:p>
        </w:tc>
        <w:tc>
          <w:tcPr>
            <w:tcW w:w="851"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风险状况</w:t>
            </w:r>
          </w:p>
        </w:tc>
      </w:tr>
      <w:tr>
        <w:tblPrEx>
          <w:tblLayout w:type="fixed"/>
          <w:tblCellMar>
            <w:top w:w="0" w:type="dxa"/>
            <w:left w:w="108" w:type="dxa"/>
            <w:bottom w:w="0" w:type="dxa"/>
            <w:right w:w="108" w:type="dxa"/>
          </w:tblCellMar>
        </w:tblPrEx>
        <w:tc>
          <w:tcPr>
            <w:tcW w:w="709" w:type="dxa"/>
            <w:tcBorders>
              <w:top w:val="single" w:color="000000" w:sz="8" w:space="0"/>
              <w:left w:val="single" w:color="000000" w:sz="8" w:space="0"/>
              <w:bottom w:val="single" w:color="000000" w:sz="8" w:space="0"/>
              <w:right w:val="single" w:color="000000" w:sz="8" w:space="0"/>
            </w:tcBorders>
            <w:vAlign w:val="center"/>
          </w:tcPr>
          <w:p>
            <w:pPr>
              <w:pStyle w:val="23"/>
              <w:wordWrap w:val="0"/>
              <w:rPr>
                <w:shd w:val="clear" w:color="auto" w:fill="FFFFFF"/>
              </w:rPr>
            </w:pPr>
            <w:r>
              <w:rPr>
                <w:rFonts w:hint="eastAsia"/>
              </w:rPr>
              <w:t>1</w:t>
            </w:r>
          </w:p>
        </w:tc>
        <w:tc>
          <w:tcPr>
            <w:tcW w:w="1276" w:type="dxa"/>
            <w:tcBorders>
              <w:top w:val="single" w:color="000000" w:sz="8" w:space="0"/>
              <w:left w:val="single" w:color="000000" w:sz="8" w:space="0"/>
              <w:bottom w:val="single" w:color="000000" w:sz="8" w:space="0"/>
              <w:right w:val="single" w:color="000000" w:sz="8" w:space="0"/>
            </w:tcBorders>
            <w:vAlign w:val="center"/>
          </w:tcPr>
          <w:p>
            <w:pPr>
              <w:pStyle w:val="25"/>
              <w:wordWrap w:val="0"/>
              <w:jc w:val="center"/>
              <w:rPr>
                <w:shd w:val="clear" w:color="auto" w:fill="FFFFFF"/>
              </w:rPr>
            </w:pPr>
            <w:r>
              <w:rPr>
                <w:rFonts w:hint="eastAsia"/>
              </w:rPr>
              <w:t>-</w:t>
            </w:r>
          </w:p>
        </w:tc>
        <w:tc>
          <w:tcPr>
            <w:tcW w:w="1701" w:type="dxa"/>
            <w:tcBorders>
              <w:top w:val="single" w:color="000000" w:sz="8" w:space="0"/>
              <w:left w:val="single" w:color="000000" w:sz="8" w:space="0"/>
              <w:bottom w:val="single" w:color="000000" w:sz="8" w:space="0"/>
              <w:right w:val="single" w:color="000000" w:sz="8" w:space="0"/>
            </w:tcBorders>
            <w:vAlign w:val="center"/>
          </w:tcPr>
          <w:p>
            <w:pPr>
              <w:pStyle w:val="25"/>
              <w:wordWrap w:val="0"/>
              <w:jc w:val="center"/>
              <w:rPr>
                <w:shd w:val="clear" w:color="auto" w:fill="FFFFFF"/>
              </w:rPr>
            </w:pPr>
            <w:r>
              <w:rPr>
                <w:rFonts w:hint="eastAsia"/>
              </w:rPr>
              <w:t>-</w:t>
            </w:r>
          </w:p>
        </w:tc>
        <w:tc>
          <w:tcPr>
            <w:tcW w:w="1417" w:type="dxa"/>
            <w:tcBorders>
              <w:top w:val="single" w:color="000000" w:sz="8" w:space="0"/>
              <w:left w:val="single" w:color="000000" w:sz="8" w:space="0"/>
              <w:bottom w:val="single" w:color="000000" w:sz="8" w:space="0"/>
              <w:right w:val="single" w:color="000000" w:sz="8" w:space="0"/>
            </w:tcBorders>
            <w:vAlign w:val="center"/>
          </w:tcPr>
          <w:p>
            <w:pPr>
              <w:pStyle w:val="22"/>
              <w:jc w:val="center"/>
              <w:rPr>
                <w:shd w:val="clear" w:color="auto" w:fill="FFFFFF"/>
              </w:rPr>
            </w:pPr>
            <w:r>
              <w:rPr>
                <w:rFonts w:hint="eastAsia"/>
              </w:rPr>
              <w:t>-</w:t>
            </w:r>
          </w:p>
        </w:tc>
        <w:tc>
          <w:tcPr>
            <w:tcW w:w="1701" w:type="dxa"/>
            <w:tcBorders>
              <w:top w:val="single" w:color="000000" w:sz="8" w:space="0"/>
              <w:left w:val="single" w:color="000000" w:sz="8" w:space="0"/>
              <w:bottom w:val="single" w:color="000000" w:sz="8" w:space="0"/>
              <w:right w:val="single" w:color="000000" w:sz="8" w:space="0"/>
            </w:tcBorders>
            <w:vAlign w:val="center"/>
          </w:tcPr>
          <w:p>
            <w:pPr>
              <w:pStyle w:val="22"/>
              <w:jc w:val="center"/>
              <w:rPr>
                <w:shd w:val="clear" w:color="auto" w:fill="FFFFFF"/>
              </w:rPr>
            </w:pPr>
            <w:r>
              <w:rPr>
                <w:rFonts w:hint="eastAsia"/>
              </w:rPr>
              <w:t>-</w:t>
            </w:r>
          </w:p>
        </w:tc>
        <w:tc>
          <w:tcPr>
            <w:tcW w:w="1276" w:type="dxa"/>
            <w:tcBorders>
              <w:top w:val="single" w:color="000000" w:sz="8" w:space="0"/>
              <w:left w:val="single" w:color="000000" w:sz="8" w:space="0"/>
              <w:bottom w:val="single" w:color="000000" w:sz="8" w:space="0"/>
              <w:right w:val="single" w:color="000000" w:sz="8" w:space="0"/>
            </w:tcBorders>
            <w:vAlign w:val="center"/>
          </w:tcPr>
          <w:p>
            <w:pPr>
              <w:pStyle w:val="22"/>
              <w:jc w:val="center"/>
              <w:rPr>
                <w:shd w:val="clear" w:color="auto" w:fill="FFFFFF"/>
              </w:rPr>
            </w:pPr>
            <w:r>
              <w:rPr>
                <w:rFonts w:hint="eastAsia"/>
              </w:rPr>
              <w:t>-</w:t>
            </w:r>
          </w:p>
        </w:tc>
        <w:tc>
          <w:tcPr>
            <w:tcW w:w="851" w:type="dxa"/>
            <w:tcBorders>
              <w:top w:val="single" w:color="000000" w:sz="8" w:space="0"/>
              <w:left w:val="single" w:color="000000" w:sz="8" w:space="0"/>
              <w:bottom w:val="single" w:color="000000" w:sz="8" w:space="0"/>
              <w:right w:val="single" w:color="000000" w:sz="8" w:space="0"/>
            </w:tcBorders>
            <w:vAlign w:val="center"/>
          </w:tcPr>
          <w:p>
            <w:pPr>
              <w:pStyle w:val="25"/>
              <w:wordWrap w:val="0"/>
              <w:jc w:val="center"/>
              <w:rPr>
                <w:shd w:val="clear" w:color="auto" w:fill="FFFFFF"/>
              </w:rPr>
            </w:pPr>
            <w:r>
              <w:rPr>
                <w:rFonts w:hint="eastAsia"/>
              </w:rPr>
              <w:t>-</w:t>
            </w:r>
          </w:p>
        </w:tc>
      </w:tr>
    </w:tbl>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pStyle w:val="26"/>
        <w:rPr>
          <w:b/>
          <w:bCs/>
          <w:color w:val="000000"/>
          <w:highlight w:val="none"/>
        </w:rPr>
      </w:pPr>
      <w:r>
        <w:rPr>
          <w:rFonts w:hint="eastAsia"/>
          <w:b/>
          <w:bCs/>
          <w:color w:val="000000"/>
          <w:highlight w:val="none"/>
        </w:rPr>
        <w:t>§</w:t>
      </w:r>
      <w:r>
        <w:rPr>
          <w:rFonts w:hint="eastAsia"/>
          <w:b/>
          <w:bCs/>
          <w:color w:val="000000"/>
          <w:highlight w:val="none"/>
          <w:lang w:val="en-US" w:eastAsia="zh-CN"/>
        </w:rPr>
        <w:t>6</w:t>
      </w:r>
      <w:r>
        <w:rPr>
          <w:rFonts w:hint="eastAsia"/>
          <w:b/>
          <w:bCs/>
          <w:color w:val="000000"/>
          <w:highlight w:val="none"/>
        </w:rPr>
        <w:t xml:space="preserve"> 投资账户信息</w:t>
      </w:r>
    </w:p>
    <w:tbl>
      <w:tblPr>
        <w:tblStyle w:val="13"/>
        <w:tblW w:w="9205" w:type="dxa"/>
        <w:tblInd w:w="95" w:type="dxa"/>
        <w:tblLayout w:type="fixed"/>
        <w:tblCellMar>
          <w:top w:w="0" w:type="dxa"/>
          <w:left w:w="108" w:type="dxa"/>
          <w:bottom w:w="0" w:type="dxa"/>
          <w:right w:w="108" w:type="dxa"/>
        </w:tblCellMar>
      </w:tblPr>
      <w:tblGrid>
        <w:gridCol w:w="711"/>
        <w:gridCol w:w="1320"/>
        <w:gridCol w:w="2390"/>
        <w:gridCol w:w="3463"/>
        <w:gridCol w:w="1321"/>
      </w:tblGrid>
      <w:tr>
        <w:tblPrEx>
          <w:tblLayout w:type="fixed"/>
          <w:tblCellMar>
            <w:top w:w="0" w:type="dxa"/>
            <w:left w:w="108" w:type="dxa"/>
            <w:bottom w:w="0" w:type="dxa"/>
            <w:right w:w="108" w:type="dxa"/>
          </w:tblCellMar>
        </w:tblPrEx>
        <w:trPr>
          <w:trHeight w:val="705" w:hRule="atLeast"/>
        </w:trPr>
        <w:tc>
          <w:tcPr>
            <w:tcW w:w="711" w:type="dxa"/>
            <w:tcBorders>
              <w:top w:val="single" w:color="000000" w:sz="8" w:space="0"/>
              <w:left w:val="single" w:color="000000" w:sz="8" w:space="0"/>
              <w:bottom w:val="single" w:color="000000" w:sz="6" w:space="0"/>
              <w:right w:val="single" w:color="000000" w:sz="8" w:space="0"/>
            </w:tcBorders>
            <w:vAlign w:val="center"/>
          </w:tcPr>
          <w:p>
            <w:pPr>
              <w:pStyle w:val="23"/>
              <w:rPr>
                <w:highlight w:val="none"/>
                <w:shd w:val="clear" w:color="auto" w:fill="FFFFFF"/>
              </w:rPr>
            </w:pPr>
            <w:r>
              <w:rPr>
                <w:rFonts w:hint="eastAsia" w:hAnsi="Calibri"/>
                <w:highlight w:val="none"/>
                <w:shd w:val="clear" w:color="auto" w:fill="FFFFFF"/>
              </w:rPr>
              <w:t>序号</w:t>
            </w:r>
          </w:p>
        </w:tc>
        <w:tc>
          <w:tcPr>
            <w:tcW w:w="1320"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账户类型</w:t>
            </w:r>
          </w:p>
        </w:tc>
        <w:tc>
          <w:tcPr>
            <w:tcW w:w="2390"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Ansi="Calibri"/>
                <w:highlight w:val="none"/>
                <w:shd w:val="clear" w:color="auto" w:fill="FFFFFF"/>
              </w:rPr>
              <w:t>账号</w:t>
            </w:r>
          </w:p>
        </w:tc>
        <w:tc>
          <w:tcPr>
            <w:tcW w:w="3463"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账户名称</w:t>
            </w:r>
          </w:p>
        </w:tc>
        <w:tc>
          <w:tcPr>
            <w:tcW w:w="1321"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开户单位</w:t>
            </w:r>
          </w:p>
        </w:tc>
      </w:tr>
      <w:tr>
        <w:tblPrEx>
          <w:tblLayout w:type="fixed"/>
          <w:tblCellMar>
            <w:top w:w="0" w:type="dxa"/>
            <w:left w:w="108" w:type="dxa"/>
            <w:bottom w:w="0" w:type="dxa"/>
            <w:right w:w="108" w:type="dxa"/>
          </w:tblCellMar>
        </w:tblPrEx>
        <w:trPr>
          <w:trHeight w:val="364" w:hRule="atLeast"/>
        </w:trPr>
        <w:tc>
          <w:tcPr>
            <w:tcW w:w="711" w:type="dxa"/>
            <w:tcBorders>
              <w:top w:val="single" w:color="000000" w:sz="8" w:space="0"/>
              <w:left w:val="single" w:color="000000" w:sz="8" w:space="0"/>
              <w:bottom w:val="single" w:color="000000" w:sz="8" w:space="0"/>
              <w:right w:val="single" w:color="000000" w:sz="8" w:space="0"/>
            </w:tcBorders>
            <w:vAlign w:val="center"/>
          </w:tcPr>
          <w:p>
            <w:pPr>
              <w:pStyle w:val="23"/>
              <w:wordWrap w:val="0"/>
              <w:rPr>
                <w:highlight w:val="none"/>
                <w:shd w:val="clear" w:color="auto" w:fill="FFFFFF"/>
              </w:rPr>
            </w:pPr>
            <w:r>
              <w:rPr>
                <w:rFonts w:hint="eastAsia" w:hAnsi="Calibri"/>
                <w:highlight w:val="none"/>
                <w:shd w:val="clear" w:color="auto" w:fill="FFFFFF"/>
              </w:rPr>
              <w:t>1</w:t>
            </w:r>
          </w:p>
        </w:tc>
        <w:tc>
          <w:tcPr>
            <w:tcW w:w="1320" w:type="dxa"/>
            <w:tcBorders>
              <w:top w:val="single" w:color="000000" w:sz="8" w:space="0"/>
              <w:left w:val="single" w:color="000000" w:sz="8" w:space="0"/>
              <w:bottom w:val="single" w:color="000000" w:sz="8" w:space="0"/>
              <w:right w:val="single" w:color="000000" w:sz="8" w:space="0"/>
            </w:tcBorders>
            <w:vAlign w:val="bottom"/>
          </w:tcPr>
          <w:p>
            <w:pPr>
              <w:pStyle w:val="23"/>
              <w:wordWrap w:val="0"/>
              <w:rPr>
                <w:highlight w:val="none"/>
                <w:shd w:val="clear" w:color="auto" w:fill="FFFFFF"/>
              </w:rPr>
            </w:pPr>
            <w:r>
              <w:rPr>
                <w:highlight w:val="none"/>
                <w:shd w:val="clear" w:color="auto" w:fill="FFFFFF"/>
              </w:rPr>
              <w:t>托管账户</w:t>
            </w:r>
          </w:p>
        </w:tc>
        <w:tc>
          <w:tcPr>
            <w:tcW w:w="2390" w:type="dxa"/>
            <w:tcBorders>
              <w:top w:val="single" w:color="000000" w:sz="8" w:space="0"/>
              <w:left w:val="single" w:color="000000" w:sz="8" w:space="0"/>
              <w:bottom w:val="single" w:color="000000" w:sz="8"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0120070000000400</w:t>
            </w:r>
          </w:p>
        </w:tc>
        <w:tc>
          <w:tcPr>
            <w:tcW w:w="3463" w:type="dxa"/>
            <w:tcBorders>
              <w:top w:val="single" w:color="000000" w:sz="8" w:space="0"/>
              <w:left w:val="single" w:color="000000" w:sz="8" w:space="0"/>
              <w:bottom w:val="single" w:color="000000" w:sz="8"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南京银行悦稳</w:t>
            </w:r>
          </w:p>
        </w:tc>
        <w:tc>
          <w:tcPr>
            <w:tcW w:w="1321" w:type="dxa"/>
            <w:tcBorders>
              <w:top w:val="single" w:color="000000" w:sz="8" w:space="0"/>
              <w:left w:val="single" w:color="000000" w:sz="8" w:space="0"/>
              <w:bottom w:val="single" w:color="000000" w:sz="8" w:space="0"/>
              <w:right w:val="single" w:color="000000" w:sz="8" w:space="0"/>
            </w:tcBorders>
            <w:vAlign w:val="center"/>
          </w:tcPr>
          <w:p>
            <w:pPr>
              <w:pStyle w:val="23"/>
              <w:wordWrap w:val="0"/>
              <w:rPr>
                <w:highlight w:val="none"/>
                <w:shd w:val="clear" w:color="auto" w:fill="FFFFFF"/>
              </w:rPr>
            </w:pPr>
            <w:r>
              <w:rPr>
                <w:highlight w:val="none"/>
                <w:shd w:val="clear" w:color="auto" w:fill="FFFFFF"/>
              </w:rPr>
              <w:t>南京银行</w:t>
            </w:r>
          </w:p>
        </w:tc>
      </w:tr>
    </w:tbl>
    <w:p>
      <w:pPr>
        <w:widowControl/>
        <w:jc w:val="left"/>
        <w:rPr>
          <w:rFonts w:ascii="宋体" w:hAnsi="宋体" w:cs="宋体"/>
          <w:color w:val="000000"/>
          <w:kern w:val="0"/>
          <w:sz w:val="24"/>
          <w:szCs w:val="24"/>
          <w:highlight w:val="none"/>
        </w:rPr>
      </w:pPr>
    </w:p>
    <w:p>
      <w:pPr>
        <w:widowControl/>
        <w:jc w:val="left"/>
        <w:rPr>
          <w:rFonts w:ascii="宋体" w:hAnsi="宋体" w:cs="宋体"/>
          <w:color w:val="000000"/>
          <w:kern w:val="0"/>
          <w:sz w:val="24"/>
          <w:szCs w:val="24"/>
          <w:highlight w:val="none"/>
        </w:rPr>
      </w:pPr>
    </w:p>
    <w:p>
      <w:pPr>
        <w:pStyle w:val="26"/>
        <w:rPr>
          <w:color w:val="000000"/>
          <w:highlight w:val="none"/>
        </w:rPr>
      </w:pPr>
      <w:r>
        <w:rPr>
          <w:rFonts w:hint="eastAsia"/>
          <w:b/>
          <w:bCs/>
          <w:color w:val="000000"/>
          <w:highlight w:val="none"/>
        </w:rPr>
        <w:t>§7 关联交易情况</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报告期内，</w:t>
      </w:r>
      <w:r>
        <w:rPr>
          <w:rFonts w:hint="eastAsia" w:ascii="宋体" w:hAnsi="宋体" w:eastAsia="宋体" w:cs="宋体"/>
          <w:color w:val="000000"/>
          <w:kern w:val="0"/>
          <w:sz w:val="24"/>
          <w:szCs w:val="24"/>
          <w:highlight w:val="none"/>
        </w:rPr>
        <w:t>产品投资于关联方发行的证券0.00元。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产品投资于关联方作为融资人的非标准化债权类资产业务交易金额0.00元。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产品投资于关联方承销的证券交易金额80</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011</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945.21元。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产品与关联方作为交易对手开展的投融资业务交易金额110</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803</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041.1</w:t>
      </w:r>
      <w:r>
        <w:rPr>
          <w:rFonts w:hint="eastAsia" w:ascii="宋体" w:hAnsi="宋体" w:cs="宋体"/>
          <w:sz w:val="24"/>
          <w:szCs w:val="24"/>
          <w:highlight w:val="none"/>
          <w:lang w:val="en-US" w:eastAsia="zh-CN"/>
        </w:rPr>
        <w:t>0</w:t>
      </w:r>
      <w:r>
        <w:rPr>
          <w:rFonts w:hint="eastAsia" w:ascii="宋体" w:hAnsi="宋体" w:eastAsia="宋体" w:cs="宋体"/>
          <w:sz w:val="24"/>
          <w:szCs w:val="24"/>
          <w:highlight w:val="none"/>
        </w:rPr>
        <w:t>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产品投资关联方作为管理人的资产管理产品交易金额0.00元。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产品支付关联方托管费32</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847.38元，支付关联方代销费0.00元。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产品发生其他关联交易金额0.00元。</w:t>
      </w:r>
    </w:p>
    <w:p>
      <w:pPr>
        <w:spacing w:before="240" w:after="72" w:afterLines="30" w:line="360" w:lineRule="auto"/>
        <w:ind w:firstLine="480" w:firstLineChars="200"/>
        <w:rPr>
          <w:rFonts w:ascii="宋体" w:hAnsi="宋体" w:cs="宋体"/>
          <w:color w:val="000000"/>
          <w:kern w:val="0"/>
          <w:sz w:val="24"/>
          <w:szCs w:val="24"/>
          <w:highlight w:val="none"/>
        </w:rPr>
      </w:pPr>
      <w:r>
        <w:rPr>
          <w:rFonts w:hint="eastAsia" w:ascii="宋体" w:hAnsi="宋体" w:eastAsia="宋体" w:cs="宋体"/>
          <w:sz w:val="24"/>
          <w:szCs w:val="24"/>
          <w:highlight w:val="none"/>
        </w:rPr>
        <w:t>报告期内，产品未发生重大关联交易。</w:t>
      </w:r>
      <w:bookmarkStart w:id="4" w:name="_GoBack"/>
      <w:bookmarkEnd w:id="4"/>
    </w:p>
    <w:p>
      <w:pPr>
        <w:widowControl/>
        <w:jc w:val="left"/>
        <w:rPr>
          <w:rFonts w:ascii="宋体" w:hAnsi="宋体" w:cs="宋体"/>
          <w:color w:val="000000"/>
          <w:kern w:val="0"/>
          <w:sz w:val="24"/>
          <w:szCs w:val="24"/>
          <w:highlight w:val="none"/>
        </w:rPr>
      </w:pPr>
    </w:p>
    <w:p>
      <w:pPr>
        <w:widowControl/>
        <w:jc w:val="left"/>
        <w:rPr>
          <w:rFonts w:ascii="宋体" w:hAnsi="宋体" w:cs="宋体"/>
          <w:color w:val="000000"/>
          <w:kern w:val="0"/>
          <w:sz w:val="24"/>
          <w:szCs w:val="24"/>
          <w:highlight w:val="none"/>
        </w:rPr>
      </w:pPr>
    </w:p>
    <w:p>
      <w:pPr>
        <w:widowControl/>
        <w:jc w:val="left"/>
        <w:rPr>
          <w:rFonts w:ascii="宋体" w:hAnsi="宋体" w:cs="宋体"/>
          <w:color w:val="000000"/>
          <w:kern w:val="0"/>
          <w:sz w:val="24"/>
          <w:szCs w:val="24"/>
        </w:rPr>
      </w:pPr>
    </w:p>
    <w:p>
      <w:pPr>
        <w:widowControl/>
        <w:jc w:val="left"/>
        <w:rPr>
          <w:color w:val="000000"/>
        </w:rPr>
      </w:pPr>
    </w:p>
    <w:p>
      <w:pPr>
        <w:pStyle w:val="22"/>
      </w:pPr>
      <w:r>
        <w:rPr>
          <w:rFonts w:hint="eastAsia" w:hAnsi="Calibri"/>
          <w:b/>
          <w:color w:val="000000"/>
        </w:rPr>
        <w:t>南银理财有限责任公司</w:t>
      </w:r>
    </w:p>
    <w:p>
      <w:pPr>
        <w:pStyle w:val="22"/>
      </w:pPr>
      <w:r>
        <w:t>2024年9月30日</w:t>
      </w:r>
    </w:p>
    <w:p>
      <w:pPr>
        <w:pStyle w:val="22"/>
        <w:rPr>
          <w:color w:val="000000"/>
        </w:rPr>
      </w:pPr>
    </w:p>
    <w:sectPr>
      <w:footerReference r:id="rId3"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720"/>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2JiMDQxYjQzM2Y3NDYwMDE1YWU0ODJjZmU2YmYyYTkifQ=="/>
  </w:docVars>
  <w:rsids>
    <w:rsidRoot w:val="00172A27"/>
    <w:rsid w:val="000060E5"/>
    <w:rsid w:val="000234FF"/>
    <w:rsid w:val="00034FF6"/>
    <w:rsid w:val="00044BFF"/>
    <w:rsid w:val="0005474A"/>
    <w:rsid w:val="00061725"/>
    <w:rsid w:val="00075063"/>
    <w:rsid w:val="000944FA"/>
    <w:rsid w:val="000A3711"/>
    <w:rsid w:val="000D5066"/>
    <w:rsid w:val="000F6191"/>
    <w:rsid w:val="0011116B"/>
    <w:rsid w:val="00130CE8"/>
    <w:rsid w:val="00152201"/>
    <w:rsid w:val="00172A27"/>
    <w:rsid w:val="00176636"/>
    <w:rsid w:val="00183C84"/>
    <w:rsid w:val="001C05F9"/>
    <w:rsid w:val="001C5395"/>
    <w:rsid w:val="00211F26"/>
    <w:rsid w:val="002263FC"/>
    <w:rsid w:val="002433E8"/>
    <w:rsid w:val="002453AB"/>
    <w:rsid w:val="0027432C"/>
    <w:rsid w:val="002A3AE9"/>
    <w:rsid w:val="002C196E"/>
    <w:rsid w:val="002C5FA6"/>
    <w:rsid w:val="002D60EC"/>
    <w:rsid w:val="002D75D0"/>
    <w:rsid w:val="002E795C"/>
    <w:rsid w:val="003032B7"/>
    <w:rsid w:val="00305714"/>
    <w:rsid w:val="00313E71"/>
    <w:rsid w:val="00321CB7"/>
    <w:rsid w:val="003379A9"/>
    <w:rsid w:val="00350ADF"/>
    <w:rsid w:val="00355623"/>
    <w:rsid w:val="003626A6"/>
    <w:rsid w:val="003A0419"/>
    <w:rsid w:val="003B2544"/>
    <w:rsid w:val="003C4D3B"/>
    <w:rsid w:val="003E09EA"/>
    <w:rsid w:val="003F0AC3"/>
    <w:rsid w:val="003F1BAC"/>
    <w:rsid w:val="003F229D"/>
    <w:rsid w:val="00445AD4"/>
    <w:rsid w:val="00456251"/>
    <w:rsid w:val="004C1607"/>
    <w:rsid w:val="004F002D"/>
    <w:rsid w:val="005069D8"/>
    <w:rsid w:val="0056162E"/>
    <w:rsid w:val="00563B93"/>
    <w:rsid w:val="00567DB3"/>
    <w:rsid w:val="005A058C"/>
    <w:rsid w:val="005A2A06"/>
    <w:rsid w:val="005B2C9B"/>
    <w:rsid w:val="005B3434"/>
    <w:rsid w:val="005E2884"/>
    <w:rsid w:val="005E5050"/>
    <w:rsid w:val="005F2C7B"/>
    <w:rsid w:val="005F4D04"/>
    <w:rsid w:val="005F7DA9"/>
    <w:rsid w:val="006054F8"/>
    <w:rsid w:val="0065419A"/>
    <w:rsid w:val="00654220"/>
    <w:rsid w:val="0065765B"/>
    <w:rsid w:val="00662D4A"/>
    <w:rsid w:val="00663B94"/>
    <w:rsid w:val="00677F66"/>
    <w:rsid w:val="006854B7"/>
    <w:rsid w:val="006A5813"/>
    <w:rsid w:val="006C7F31"/>
    <w:rsid w:val="006E4E94"/>
    <w:rsid w:val="006E4FAB"/>
    <w:rsid w:val="00723C78"/>
    <w:rsid w:val="00730BEE"/>
    <w:rsid w:val="0073101E"/>
    <w:rsid w:val="00735153"/>
    <w:rsid w:val="00745421"/>
    <w:rsid w:val="00755619"/>
    <w:rsid w:val="007A4219"/>
    <w:rsid w:val="007E430F"/>
    <w:rsid w:val="0080200C"/>
    <w:rsid w:val="00814110"/>
    <w:rsid w:val="0082561A"/>
    <w:rsid w:val="00841482"/>
    <w:rsid w:val="00846B2E"/>
    <w:rsid w:val="00853290"/>
    <w:rsid w:val="0085663C"/>
    <w:rsid w:val="0087350B"/>
    <w:rsid w:val="008768AB"/>
    <w:rsid w:val="008926F7"/>
    <w:rsid w:val="008A7510"/>
    <w:rsid w:val="008A78B9"/>
    <w:rsid w:val="008C78BD"/>
    <w:rsid w:val="008F0FA3"/>
    <w:rsid w:val="00900D90"/>
    <w:rsid w:val="009354D6"/>
    <w:rsid w:val="00970A98"/>
    <w:rsid w:val="009C781F"/>
    <w:rsid w:val="009D5296"/>
    <w:rsid w:val="009E5BC2"/>
    <w:rsid w:val="009E6170"/>
    <w:rsid w:val="00A167EC"/>
    <w:rsid w:val="00A37451"/>
    <w:rsid w:val="00A4484F"/>
    <w:rsid w:val="00A47644"/>
    <w:rsid w:val="00A76D4B"/>
    <w:rsid w:val="00A77C47"/>
    <w:rsid w:val="00A9119C"/>
    <w:rsid w:val="00AA4549"/>
    <w:rsid w:val="00AC5144"/>
    <w:rsid w:val="00AD738A"/>
    <w:rsid w:val="00AF0D4E"/>
    <w:rsid w:val="00B13014"/>
    <w:rsid w:val="00B17559"/>
    <w:rsid w:val="00B33B19"/>
    <w:rsid w:val="00B404E6"/>
    <w:rsid w:val="00B4360D"/>
    <w:rsid w:val="00B61EA9"/>
    <w:rsid w:val="00B670D1"/>
    <w:rsid w:val="00B74DCA"/>
    <w:rsid w:val="00BC02E0"/>
    <w:rsid w:val="00BC3903"/>
    <w:rsid w:val="00BE47E0"/>
    <w:rsid w:val="00BF75C8"/>
    <w:rsid w:val="00C003CA"/>
    <w:rsid w:val="00C1762E"/>
    <w:rsid w:val="00C25123"/>
    <w:rsid w:val="00C30A48"/>
    <w:rsid w:val="00C375A7"/>
    <w:rsid w:val="00C62DF8"/>
    <w:rsid w:val="00C640FB"/>
    <w:rsid w:val="00CB054E"/>
    <w:rsid w:val="00CC52D7"/>
    <w:rsid w:val="00CE13E5"/>
    <w:rsid w:val="00D14DAE"/>
    <w:rsid w:val="00D23AB6"/>
    <w:rsid w:val="00D30FC2"/>
    <w:rsid w:val="00D366CC"/>
    <w:rsid w:val="00D50309"/>
    <w:rsid w:val="00D51AA9"/>
    <w:rsid w:val="00D7264A"/>
    <w:rsid w:val="00D84E43"/>
    <w:rsid w:val="00D870DF"/>
    <w:rsid w:val="00DB0C2F"/>
    <w:rsid w:val="00DB3BF6"/>
    <w:rsid w:val="00DC31CC"/>
    <w:rsid w:val="00DC728A"/>
    <w:rsid w:val="00DD2F3C"/>
    <w:rsid w:val="00E1059D"/>
    <w:rsid w:val="00E13AA3"/>
    <w:rsid w:val="00E155DF"/>
    <w:rsid w:val="00E246E1"/>
    <w:rsid w:val="00E560F1"/>
    <w:rsid w:val="00E64543"/>
    <w:rsid w:val="00E90381"/>
    <w:rsid w:val="00E944FA"/>
    <w:rsid w:val="00E9797A"/>
    <w:rsid w:val="00EA7ABC"/>
    <w:rsid w:val="00EC0173"/>
    <w:rsid w:val="00EE0436"/>
    <w:rsid w:val="00F1465C"/>
    <w:rsid w:val="00F41324"/>
    <w:rsid w:val="00F57C12"/>
    <w:rsid w:val="00F609FD"/>
    <w:rsid w:val="00F718FF"/>
    <w:rsid w:val="00F813CB"/>
    <w:rsid w:val="00F859AB"/>
    <w:rsid w:val="00F92E39"/>
    <w:rsid w:val="00F950D0"/>
    <w:rsid w:val="00FA2C26"/>
    <w:rsid w:val="00FC297E"/>
    <w:rsid w:val="00FC4331"/>
    <w:rsid w:val="00FF6FBF"/>
    <w:rsid w:val="030F2BA7"/>
    <w:rsid w:val="04240CEE"/>
    <w:rsid w:val="065551D3"/>
    <w:rsid w:val="06C37561"/>
    <w:rsid w:val="09514261"/>
    <w:rsid w:val="0A236A5A"/>
    <w:rsid w:val="0BA075C8"/>
    <w:rsid w:val="0CAB045E"/>
    <w:rsid w:val="10C60AB9"/>
    <w:rsid w:val="111D4539"/>
    <w:rsid w:val="13297F9C"/>
    <w:rsid w:val="134727C6"/>
    <w:rsid w:val="141A5102"/>
    <w:rsid w:val="15A765F4"/>
    <w:rsid w:val="15FE575C"/>
    <w:rsid w:val="16326602"/>
    <w:rsid w:val="16C21387"/>
    <w:rsid w:val="177920C8"/>
    <w:rsid w:val="18EC47C1"/>
    <w:rsid w:val="1AB73E2C"/>
    <w:rsid w:val="1ADC05C7"/>
    <w:rsid w:val="1E911FB2"/>
    <w:rsid w:val="1F274305"/>
    <w:rsid w:val="20F325AF"/>
    <w:rsid w:val="216F6F5C"/>
    <w:rsid w:val="22E23E75"/>
    <w:rsid w:val="24914F4C"/>
    <w:rsid w:val="2555668E"/>
    <w:rsid w:val="25AF3A81"/>
    <w:rsid w:val="25B229C2"/>
    <w:rsid w:val="26C9631C"/>
    <w:rsid w:val="26FD4196"/>
    <w:rsid w:val="28CD1EA7"/>
    <w:rsid w:val="2945121F"/>
    <w:rsid w:val="2986009C"/>
    <w:rsid w:val="29F7636C"/>
    <w:rsid w:val="32955A2A"/>
    <w:rsid w:val="350229F7"/>
    <w:rsid w:val="36341C31"/>
    <w:rsid w:val="368076E6"/>
    <w:rsid w:val="378F5AE0"/>
    <w:rsid w:val="37F709A6"/>
    <w:rsid w:val="39E872E9"/>
    <w:rsid w:val="39FF2E40"/>
    <w:rsid w:val="3ABE1FB8"/>
    <w:rsid w:val="3C753CC7"/>
    <w:rsid w:val="3D135D4F"/>
    <w:rsid w:val="3F2C3B54"/>
    <w:rsid w:val="40990310"/>
    <w:rsid w:val="44F30C78"/>
    <w:rsid w:val="459870AF"/>
    <w:rsid w:val="45ED49CE"/>
    <w:rsid w:val="46F0109E"/>
    <w:rsid w:val="47475A63"/>
    <w:rsid w:val="4BCA232B"/>
    <w:rsid w:val="4E276A76"/>
    <w:rsid w:val="506954C1"/>
    <w:rsid w:val="509017BA"/>
    <w:rsid w:val="50F35D7E"/>
    <w:rsid w:val="51482FC3"/>
    <w:rsid w:val="52830253"/>
    <w:rsid w:val="53A14B98"/>
    <w:rsid w:val="53BD04A2"/>
    <w:rsid w:val="5400627E"/>
    <w:rsid w:val="541C469D"/>
    <w:rsid w:val="5617604A"/>
    <w:rsid w:val="5BE61B5E"/>
    <w:rsid w:val="5CA05A23"/>
    <w:rsid w:val="5EC71EB3"/>
    <w:rsid w:val="602D020F"/>
    <w:rsid w:val="60EA4BD2"/>
    <w:rsid w:val="62BD595C"/>
    <w:rsid w:val="66BB126F"/>
    <w:rsid w:val="66F47EBC"/>
    <w:rsid w:val="681903E9"/>
    <w:rsid w:val="68823415"/>
    <w:rsid w:val="6898111C"/>
    <w:rsid w:val="68A21F24"/>
    <w:rsid w:val="6969221B"/>
    <w:rsid w:val="6A485270"/>
    <w:rsid w:val="6A970E7E"/>
    <w:rsid w:val="6BBB7BD0"/>
    <w:rsid w:val="6D05415D"/>
    <w:rsid w:val="6F66394D"/>
    <w:rsid w:val="72601E6C"/>
    <w:rsid w:val="72F84F0E"/>
    <w:rsid w:val="73193673"/>
    <w:rsid w:val="742938C1"/>
    <w:rsid w:val="74543F24"/>
    <w:rsid w:val="74BE328D"/>
    <w:rsid w:val="77B45190"/>
    <w:rsid w:val="7B490AB1"/>
    <w:rsid w:val="7CCC5E07"/>
    <w:rsid w:val="7E72470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9">
    <w:name w:val="Default Paragraph Font"/>
    <w:unhideWhenUsed/>
    <w:qFormat/>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6"/>
    <w:unhideWhenUsed/>
    <w:qFormat/>
    <w:uiPriority w:val="99"/>
    <w:rPr>
      <w:b/>
      <w:bCs/>
    </w:rPr>
  </w:style>
  <w:style w:type="paragraph" w:styleId="3">
    <w:name w:val="annotation text"/>
    <w:basedOn w:val="1"/>
    <w:link w:val="18"/>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unhideWhenUsed/>
    <w:qFormat/>
    <w:uiPriority w:val="99"/>
    <w:pPr>
      <w:snapToGrid w:val="0"/>
      <w:jc w:val="left"/>
    </w:pPr>
    <w:rPr>
      <w:sz w:val="18"/>
    </w:rPr>
  </w:style>
  <w:style w:type="paragraph" w:styleId="8">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10">
    <w:name w:val="page number"/>
    <w:basedOn w:val="9"/>
    <w:unhideWhenUsed/>
    <w:qFormat/>
    <w:uiPriority w:val="99"/>
  </w:style>
  <w:style w:type="character" w:styleId="11">
    <w:name w:val="annotation reference"/>
    <w:unhideWhenUsed/>
    <w:qFormat/>
    <w:uiPriority w:val="99"/>
    <w:rPr>
      <w:sz w:val="21"/>
      <w:szCs w:val="21"/>
    </w:rPr>
  </w:style>
  <w:style w:type="character" w:styleId="12">
    <w:name w:val="footnote reference"/>
    <w:unhideWhenUsed/>
    <w:qFormat/>
    <w:uiPriority w:val="99"/>
    <w:rPr>
      <w:vertAlign w:val="superscript"/>
    </w:rPr>
  </w:style>
  <w:style w:type="character" w:customStyle="1" w:styleId="14">
    <w:name w:val="批注框文本 Char"/>
    <w:link w:val="4"/>
    <w:semiHidden/>
    <w:qFormat/>
    <w:uiPriority w:val="99"/>
    <w:rPr>
      <w:kern w:val="2"/>
      <w:sz w:val="18"/>
      <w:szCs w:val="18"/>
    </w:rPr>
  </w:style>
  <w:style w:type="character" w:customStyle="1" w:styleId="15">
    <w:name w:val="页眉 Char"/>
    <w:link w:val="6"/>
    <w:semiHidden/>
    <w:qFormat/>
    <w:locked/>
    <w:uiPriority w:val="99"/>
    <w:rPr>
      <w:rFonts w:hint="default" w:ascii="Times New Roman" w:hAnsi="Times New Roman" w:cs="Times New Roman"/>
      <w:sz w:val="18"/>
      <w:szCs w:val="18"/>
    </w:rPr>
  </w:style>
  <w:style w:type="character" w:customStyle="1" w:styleId="16">
    <w:name w:val="批注主题 Char"/>
    <w:link w:val="2"/>
    <w:semiHidden/>
    <w:qFormat/>
    <w:uiPriority w:val="99"/>
    <w:rPr>
      <w:b/>
      <w:bCs/>
      <w:kern w:val="2"/>
      <w:sz w:val="21"/>
      <w:szCs w:val="22"/>
    </w:rPr>
  </w:style>
  <w:style w:type="character" w:customStyle="1" w:styleId="17">
    <w:name w:val="页脚 Char"/>
    <w:link w:val="5"/>
    <w:semiHidden/>
    <w:qFormat/>
    <w:locked/>
    <w:uiPriority w:val="99"/>
    <w:rPr>
      <w:rFonts w:hint="default" w:ascii="Times New Roman" w:hAnsi="Times New Roman" w:cs="Times New Roman"/>
      <w:sz w:val="18"/>
      <w:szCs w:val="18"/>
    </w:rPr>
  </w:style>
  <w:style w:type="character" w:customStyle="1" w:styleId="18">
    <w:name w:val="批注文字 Char"/>
    <w:link w:val="3"/>
    <w:qFormat/>
    <w:uiPriority w:val="99"/>
    <w:rPr>
      <w:kern w:val="2"/>
      <w:sz w:val="21"/>
      <w:szCs w:val="22"/>
    </w:rPr>
  </w:style>
  <w:style w:type="paragraph" w:customStyle="1" w:styleId="19">
    <w:name w:val="zhongyaotishi"/>
    <w:basedOn w:val="1"/>
    <w:qFormat/>
    <w:uiPriority w:val="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20">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21">
    <w:name w:val="biaoge_right1"/>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22">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23">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24">
    <w:name w:val="msonormalfy"/>
    <w:qFormat/>
    <w:uiPriority w:val="0"/>
    <w:pPr>
      <w:widowControl w:val="0"/>
      <w:jc w:val="center"/>
    </w:pPr>
    <w:rPr>
      <w:rFonts w:ascii="Times New Roman" w:hAnsi="Times New Roman" w:eastAsia="宋体" w:cs="Times New Roman"/>
      <w:kern w:val="2"/>
      <w:sz w:val="33"/>
      <w:szCs w:val="22"/>
      <w:lang w:val="en-US" w:eastAsia="zh-CN" w:bidi="ar-SA"/>
    </w:rPr>
  </w:style>
  <w:style w:type="paragraph" w:customStyle="1" w:styleId="25">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26">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27">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28">
    <w:name w:val="hide"/>
    <w:basedOn w:val="1"/>
    <w:qFormat/>
    <w:uiPriority w:val="0"/>
    <w:pPr>
      <w:widowControl/>
      <w:spacing w:before="100" w:beforeAutospacing="1" w:after="100" w:afterAutospacing="1"/>
      <w:jc w:val="left"/>
    </w:pPr>
    <w:rPr>
      <w:rFonts w:ascii="宋体" w:hAnsi="宋体" w:cs="宋体"/>
      <w:vanish/>
      <w:kern w:val="0"/>
      <w:sz w:val="24"/>
      <w:szCs w:val="24"/>
    </w:rPr>
  </w:style>
  <w:style w:type="paragraph" w:customStyle="1" w:styleId="29">
    <w:name w:val="show"/>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0">
    <w:name w:val="msonormal_none"/>
    <w:qFormat/>
    <w:uiPriority w:val="0"/>
    <w:pPr>
      <w:widowControl w:val="0"/>
    </w:pPr>
    <w:rPr>
      <w:rFonts w:ascii="Times New Roman" w:hAnsi="Times New Roman" w:eastAsia="宋体" w:cs="Times New Roman"/>
      <w:kern w:val="2"/>
      <w:sz w:val="21"/>
      <w:szCs w:val="22"/>
      <w:lang w:val="en-US" w:eastAsia="zh-CN" w:bidi="ar-SA"/>
    </w:rPr>
  </w:style>
  <w:style w:type="paragraph" w:customStyle="1" w:styleId="31">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character" w:customStyle="1" w:styleId="32">
    <w:name w:val="show1"/>
    <w:basedOn w:val="9"/>
    <w:qFormat/>
    <w:uiPriority w:val="0"/>
  </w:style>
  <w:style w:type="paragraph" w:customStyle="1" w:styleId="33">
    <w:name w:val="dqbgbnwz"/>
    <w:basedOn w:val="1"/>
    <w:qFormat/>
    <w:uiPriority w:val="0"/>
    <w:pPr>
      <w:widowControl/>
      <w:spacing w:line="288" w:lineRule="auto"/>
      <w:jc w:val="center"/>
    </w:pPr>
    <w:rPr>
      <w:rFonts w:eastAsia="黑体" w:cs="宋体"/>
      <w:kern w:val="0"/>
      <w:sz w:val="22"/>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2533</Words>
  <Characters>3166</Characters>
  <Lines>39</Lines>
  <Paragraphs>11</Paragraphs>
  <ScaleCrop>false</ScaleCrop>
  <LinksUpToDate>false</LinksUpToDate>
  <CharactersWithSpaces>3189</CharactersWithSpaces>
  <Application>WPS Office_10.8.0.6157_F1E327BC-269C-435d-A152-05C5408002CA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2020-12-16T03:30:00Z</dcterms:created>
  <dc:creator>总行金融市场部本币投资交易部梅浩超</dc:creator>
  <cp:lastModifiedBy>陈相莉</cp:lastModifiedBy>
  <cp:lastPrinted>2019-09-11T00:56:00Z</cp:lastPrinted>
  <dcterms:modified xsi:type="dcterms:W3CDTF">2024-09-29T07:25:18Z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080CE5F92A9D445382EA8EC1EB59867B_12</vt:lpwstr>
  </property>
</Properties>
</file>