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eastAsia="黑体"/>
          <w:b/>
          <w:bCs/>
          <w:color w:val="000000"/>
          <w:sz w:val="36"/>
        </w:rPr>
      </w:pPr>
      <w:r>
        <w:rPr>
          <w:rFonts w:hint="eastAsia" w:ascii="黑体" w:hAnsi="黑体" w:eastAsia="黑体" w:cs="黑体"/>
          <w:b/>
          <w:kern w:val="2"/>
          <w:sz w:val="36"/>
        </w:rPr>
        <w:t>南银理财珠联璧合理财管理计划1号公募人民币</w:t>
      </w:r>
      <w:r>
        <w:rPr>
          <w:rFonts w:ascii="黑体" w:eastAsia="黑体"/>
          <w:b/>
          <w:bCs/>
          <w:color w:val="000000"/>
          <w:sz w:val="36"/>
        </w:rPr>
        <w:t>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南银理财珠联璧合理财管理计划1号公募人民币理财产品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t>Z7003220000003</w:t>
            </w:r>
            <w:r>
              <w:rPr>
                <w:rFonts w:hint="eastAsia"/>
              </w:rPr>
              <w:t>（投资者可依据该编码在中国理财网www.chinawealth.com.cn查询理财产品相关信息）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2014年09月17日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12,148,445,000.00份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106.93%</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wordWrap w:val="0"/>
              <w:jc w:val="center"/>
            </w:pPr>
            <w:r>
              <w:rPr>
                <w:rFonts w:hint="eastAsia" w:hAnsi="Calibri"/>
                <w:color w:val="000000"/>
              </w:rPr>
              <w:t>12,180,954,207.78</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wordWrap w:val="0"/>
              <w:jc w:val="center"/>
            </w:pPr>
            <w:r>
              <w:rPr>
                <w:rFonts w:hint="eastAsia" w:hAnsi="Calibri"/>
                <w:color w:val="000000"/>
              </w:rPr>
              <w:t>1.0027</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color w:val="000000"/>
              </w:rPr>
              <w:t>1.3004</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widowControl/>
        <w:adjustRightInd w:val="0"/>
        <w:snapToGrid w:val="0"/>
        <w:spacing w:afterLines="50" w:line="360" w:lineRule="auto"/>
        <w:ind w:firstLine="480" w:firstLineChars="200"/>
        <w:jc w:val="left"/>
        <w:rPr>
          <w:rFonts w:ascii="宋体" w:hAnsi="宋体"/>
          <w:kern w:val="0"/>
          <w:sz w:val="24"/>
          <w:szCs w:val="24"/>
        </w:rPr>
      </w:pPr>
      <w:r>
        <w:rPr>
          <w:rFonts w:hint="eastAsia" w:ascii="宋体" w:hAnsi="宋体"/>
          <w:kern w:val="0"/>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widowControl/>
        <w:adjustRightInd w:val="0"/>
        <w:snapToGrid w:val="0"/>
        <w:spacing w:afterLines="50" w:line="360" w:lineRule="auto"/>
        <w:ind w:firstLine="480" w:firstLineChars="200"/>
        <w:jc w:val="left"/>
        <w:rPr>
          <w:rFonts w:ascii="宋体" w:hAnsi="宋体"/>
          <w:kern w:val="0"/>
          <w:sz w:val="24"/>
          <w:szCs w:val="24"/>
        </w:rPr>
      </w:pPr>
      <w:r>
        <w:rPr>
          <w:rFonts w:hint="eastAsia" w:ascii="宋体" w:hAnsi="宋体"/>
          <w:kern w:val="0"/>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widowControl/>
        <w:adjustRightInd w:val="0"/>
        <w:snapToGrid w:val="0"/>
        <w:spacing w:afterLines="50" w:line="360" w:lineRule="auto"/>
        <w:ind w:firstLine="480" w:firstLineChars="200"/>
        <w:jc w:val="left"/>
        <w:rPr>
          <w:rFonts w:ascii="宋体" w:hAnsi="宋体"/>
          <w:kern w:val="0"/>
          <w:sz w:val="24"/>
          <w:szCs w:val="24"/>
        </w:rPr>
      </w:pPr>
      <w:r>
        <w:rPr>
          <w:rFonts w:hint="eastAsia" w:ascii="宋体" w:hAnsi="宋体"/>
          <w:kern w:val="0"/>
          <w:sz w:val="24"/>
          <w:szCs w:val="24"/>
        </w:rPr>
        <w:t>展望后市，由于经济仍处于复苏进程中，短期来看，当前长端利率估值偏贵，债市后期面临调整的压力较高。但国内局部疫情、疫苗效果、中美经贸摩擦走向依然具有不确定性，市场波动可能加大。</w:t>
      </w:r>
    </w:p>
    <w:p>
      <w:pPr>
        <w:widowControl/>
        <w:adjustRightInd w:val="0"/>
        <w:snapToGrid w:val="0"/>
        <w:spacing w:afterLines="50" w:line="360" w:lineRule="auto"/>
        <w:ind w:firstLine="480" w:firstLineChars="200"/>
        <w:jc w:val="left"/>
        <w:rPr>
          <w:rFonts w:ascii="宋体" w:hAnsi="宋体"/>
          <w:kern w:val="0"/>
          <w:sz w:val="24"/>
          <w:szCs w:val="24"/>
        </w:rPr>
      </w:pPr>
      <w:r>
        <w:rPr>
          <w:rFonts w:hint="eastAsia" w:ascii="宋体" w:hAnsi="宋体"/>
          <w:kern w:val="0"/>
          <w:sz w:val="24"/>
          <w:szCs w:val="24"/>
        </w:rPr>
        <w:t>本产品坚守流动性管理工具本质，产品以信用债票息策略为主，同时维持持仓结构中高流动性资产的持仓比例，以应对客户流动性需求。本产品对长端利率债仓位严格控制，谨慎参与博弈利率波段交易，为客户创造平稳良好收益体验。根据市场及流动性环境的变化，本产品适度采用杠杆策略并积极把握调仓机会，为客户创造更佳的投资收益。</w:t>
      </w:r>
    </w:p>
    <w:p>
      <w:pPr>
        <w:pStyle w:val="8"/>
        <w:rPr>
          <w:b/>
          <w:color w:val="000000"/>
        </w:rPr>
      </w:pPr>
      <w:r>
        <w:rPr>
          <w:rFonts w:hint="eastAsia"/>
          <w:b/>
          <w:color w:val="000000"/>
        </w:rPr>
        <w:t>3.2 报告期内产品的流动性风险分析</w:t>
      </w:r>
    </w:p>
    <w:p>
      <w:pPr>
        <w:widowControl/>
        <w:adjustRightInd w:val="0"/>
        <w:snapToGrid w:val="0"/>
        <w:spacing w:afterLines="50" w:line="360" w:lineRule="auto"/>
        <w:ind w:firstLine="480" w:firstLineChars="200"/>
        <w:jc w:val="left"/>
        <w:rPr>
          <w:rFonts w:ascii="宋体" w:hAnsi="宋体"/>
          <w:kern w:val="0"/>
          <w:sz w:val="24"/>
          <w:szCs w:val="24"/>
        </w:rPr>
      </w:pPr>
      <w:r>
        <w:rPr>
          <w:rFonts w:hint="eastAsia" w:ascii="宋体" w:hAnsi="宋体"/>
          <w:kern w:val="0"/>
          <w:sz w:val="24"/>
          <w:szCs w:val="24"/>
        </w:rPr>
        <w:t>本产品坚守流动性管理工具本质，持仓中对中短端利率债、公募高等级信用债等高流动性资产均维持合理持仓比例。本产品适度采用杠杆策略，且对资产与回购到期节奏予以合理摆布，两只产品流动性风险较低。</w:t>
      </w:r>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557"/>
        <w:gridCol w:w="2099"/>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0" w:type="dxa"/>
            <w:vMerge w:val="continue"/>
            <w:shd w:val="clear" w:color="auto" w:fill="auto"/>
            <w:vAlign w:val="center"/>
          </w:tcPr>
          <w:p>
            <w:pPr>
              <w:pStyle w:val="32"/>
              <w:rPr>
                <w:rFonts w:hint="eastAsia" w:ascii="宋体" w:hAnsi="宋体" w:eastAsia="宋体" w:cs="宋体"/>
                <w:b/>
                <w:color w:val="000000"/>
                <w:kern w:val="2"/>
                <w:highlight w:val="none"/>
              </w:rPr>
            </w:pPr>
          </w:p>
        </w:tc>
        <w:tc>
          <w:tcPr>
            <w:tcW w:w="141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55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9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419"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027</w:t>
            </w:r>
          </w:p>
        </w:tc>
        <w:tc>
          <w:tcPr>
            <w:tcW w:w="1557"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w:t>
            </w:r>
            <w:r>
              <w:rPr>
                <w:rFonts w:hint="eastAsia" w:ascii="宋体" w:hAnsi="宋体" w:eastAsia="宋体" w:cs="宋体"/>
                <w:color w:val="000000"/>
                <w:highlight w:val="none"/>
                <w:lang w:val="en-US" w:eastAsia="zh-CN"/>
              </w:rPr>
              <w:t>3004</w:t>
            </w:r>
          </w:p>
        </w:tc>
        <w:tc>
          <w:tcPr>
            <w:tcW w:w="209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highlight w:val="none"/>
              </w:rPr>
              <w:t>12</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180</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954</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207.78</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4.09%</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2020/1/7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2020/1/7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2020/1/7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2020/1/8</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0.0350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2020/2/4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2020/2/4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2020/2/5</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2020/3/10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2020/3/10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2020/3/10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2020/3/11</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2020/4/7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2020/4/7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2020/4/7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2020/4/8</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2020/5/6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2020/5/6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2020/5/6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2020/5/7</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2020/6/9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2020/6/9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2020/6/9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2020/6/10</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2020/7/7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2020/7/7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2020/7/7</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2020/7/8</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2020/8/11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2020/8/11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2020/8/11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2020/8/12</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default" w:ascii="宋体" w:hAnsi="宋体" w:eastAsia="宋体" w:cs="宋体"/>
                <w:color w:val="000000"/>
                <w:kern w:val="2"/>
                <w:highlight w:val="none"/>
                <w:lang w:val="en-US"/>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2020/9/9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sz w:val="22"/>
                <w:szCs w:val="24"/>
                <w:highlight w:val="none"/>
                <w:lang w:val="en-US" w:eastAsia="zh-CN" w:bidi="ar-SA"/>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2020/10/14</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sz w:val="22"/>
                <w:szCs w:val="24"/>
                <w:highlight w:val="none"/>
                <w:lang w:val="en-US" w:eastAsia="zh-CN" w:bidi="ar-SA"/>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2020/10/14</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sz w:val="22"/>
                <w:szCs w:val="24"/>
                <w:highlight w:val="none"/>
                <w:lang w:val="en-US" w:eastAsia="zh-CN" w:bidi="ar-SA"/>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2020/11/10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2020/11/10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2020/11/10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2020/11/11</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2"/>
              <w:rPr>
                <w:rFonts w:hint="eastAsia" w:ascii="宋体" w:hAnsi="宋体" w:eastAsia="宋体" w:cs="宋体"/>
                <w:color w:val="000000"/>
                <w:kern w:val="2"/>
                <w:sz w:val="22"/>
                <w:szCs w:val="24"/>
                <w:highlight w:val="none"/>
                <w:lang w:val="en-US" w:eastAsia="zh-CN" w:bidi="ar-SA"/>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2020/12/9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0.0300</w:t>
            </w:r>
          </w:p>
        </w:tc>
      </w:tr>
    </w:tbl>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0" w:name="_Hlk65766326"/>
      <w:bookmarkStart w:id="1" w:name="_Hlk65770268"/>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01</w:t>
      </w:r>
      <w:r>
        <w:rPr>
          <w:rFonts w:hint="eastAsia"/>
        </w:rPr>
        <w:t>月</w:t>
      </w:r>
      <w:r>
        <w:t>01</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0"/>
      <w:bookmarkEnd w:id="1"/>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2"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2"/>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3"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3"/>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jc w:val="center"/>
            </w:pPr>
            <w:r>
              <w:rPr>
                <w:rFonts w:hint="eastAsia"/>
              </w:rPr>
              <w:t>031683003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16苏通科技PPN001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270,005,986.78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2.22%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101900614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19桂交投MTN001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200,011,122.55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112011079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20平安银行CD079</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199,217,886.51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112015152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20民生银行CD152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199,156,632.70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031771022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17武进经发PPN001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195,014,944.58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180203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18国开03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190,944,254.29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1.57%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031800552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18宜兴经开PPN001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186,010,519.43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1.53%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101900484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19青岛北城MTN001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180,009,518.08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1.48%</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200306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20进出06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160,126,997.52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1.31%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1780417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17金华融盛债</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160,015,748.84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1.31%</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4" w:type="dxa"/>
        <w:tblInd w:w="95" w:type="dxa"/>
        <w:tblLayout w:type="fixed"/>
        <w:tblCellMar>
          <w:top w:w="0" w:type="dxa"/>
          <w:left w:w="108" w:type="dxa"/>
          <w:bottom w:w="0" w:type="dxa"/>
          <w:right w:w="108" w:type="dxa"/>
        </w:tblCellMar>
      </w:tblPr>
      <w:tblGrid>
        <w:gridCol w:w="711"/>
        <w:gridCol w:w="1320"/>
        <w:gridCol w:w="2390"/>
        <w:gridCol w:w="3463"/>
        <w:gridCol w:w="1320"/>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shd w:val="clear" w:color="auto" w:fill="auto"/>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01640124840000194</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南京银行珠联璧合理财计划</w:t>
            </w:r>
          </w:p>
        </w:tc>
        <w:tc>
          <w:tcPr>
            <w:tcW w:w="132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color w:val="000000"/>
          <w:highlight w:val="none"/>
        </w:rPr>
      </w:pPr>
      <w:bookmarkStart w:id="4" w:name="_GoBack"/>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w:t>
      </w:r>
      <w:r>
        <w:rPr>
          <w:rFonts w:hint="eastAsia" w:ascii="宋体" w:hAnsi="宋体" w:eastAsia="宋体" w:cs="宋体"/>
          <w:color w:val="000000"/>
          <w:kern w:val="0"/>
          <w:sz w:val="24"/>
          <w:szCs w:val="24"/>
          <w:highlight w:val="none"/>
        </w:rPr>
        <w:t>0.00</w:t>
      </w:r>
      <w:r>
        <w:rPr>
          <w:rFonts w:hint="eastAsia" w:ascii="宋体" w:hAnsi="宋体" w:eastAsia="宋体" w:cs="宋体"/>
          <w:sz w:val="24"/>
          <w:szCs w:val="24"/>
          <w:highlight w:val="none"/>
        </w:rPr>
        <w:t>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产品支付关联方托管费617</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323.44元，支付关联方代销费</w:t>
      </w:r>
      <w:r>
        <w:rPr>
          <w:rFonts w:hint="eastAsia" w:ascii="宋体" w:hAnsi="宋体" w:eastAsia="宋体" w:cs="宋体"/>
          <w:color w:val="000000"/>
          <w:kern w:val="0"/>
          <w:sz w:val="24"/>
          <w:szCs w:val="24"/>
          <w:highlight w:val="none"/>
        </w:rPr>
        <w:t>0.00</w:t>
      </w:r>
      <w:r>
        <w:rPr>
          <w:rFonts w:hint="eastAsia" w:ascii="宋体" w:hAnsi="宋体" w:eastAsia="宋体" w:cs="宋体"/>
          <w:sz w:val="24"/>
          <w:szCs w:val="24"/>
          <w:highlight w:val="none"/>
        </w:rPr>
        <w:t>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报告期内，产品未发生重大关联交易。</w:t>
      </w:r>
    </w:p>
    <w:bookmarkEnd w:id="4"/>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default"/>
      <w:footerReference r:id="rId4"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616"/>
    <w:rsid w:val="00034FF6"/>
    <w:rsid w:val="00044ABA"/>
    <w:rsid w:val="00044BFF"/>
    <w:rsid w:val="00044C46"/>
    <w:rsid w:val="0005474A"/>
    <w:rsid w:val="00061725"/>
    <w:rsid w:val="0009683D"/>
    <w:rsid w:val="000A3711"/>
    <w:rsid w:val="000C553C"/>
    <w:rsid w:val="000D5066"/>
    <w:rsid w:val="000F1242"/>
    <w:rsid w:val="000F6191"/>
    <w:rsid w:val="00130CE8"/>
    <w:rsid w:val="0013537A"/>
    <w:rsid w:val="00152201"/>
    <w:rsid w:val="001609E9"/>
    <w:rsid w:val="00172A27"/>
    <w:rsid w:val="00176636"/>
    <w:rsid w:val="00183C84"/>
    <w:rsid w:val="001A07BE"/>
    <w:rsid w:val="001C05F9"/>
    <w:rsid w:val="001C5395"/>
    <w:rsid w:val="0020148F"/>
    <w:rsid w:val="00205034"/>
    <w:rsid w:val="00211F26"/>
    <w:rsid w:val="002263FC"/>
    <w:rsid w:val="002A3AE9"/>
    <w:rsid w:val="002C196E"/>
    <w:rsid w:val="002D60EC"/>
    <w:rsid w:val="002D75D0"/>
    <w:rsid w:val="002E20A7"/>
    <w:rsid w:val="002E795C"/>
    <w:rsid w:val="00305714"/>
    <w:rsid w:val="0031066A"/>
    <w:rsid w:val="003126C7"/>
    <w:rsid w:val="00313E71"/>
    <w:rsid w:val="00321CB7"/>
    <w:rsid w:val="003379A9"/>
    <w:rsid w:val="00350ADF"/>
    <w:rsid w:val="00355623"/>
    <w:rsid w:val="003A0419"/>
    <w:rsid w:val="003C4D3B"/>
    <w:rsid w:val="003E09EA"/>
    <w:rsid w:val="003F0AC3"/>
    <w:rsid w:val="00456251"/>
    <w:rsid w:val="004C1607"/>
    <w:rsid w:val="004C7D2E"/>
    <w:rsid w:val="004F1207"/>
    <w:rsid w:val="004F5C6C"/>
    <w:rsid w:val="005024FB"/>
    <w:rsid w:val="005069D8"/>
    <w:rsid w:val="0056162E"/>
    <w:rsid w:val="00563B93"/>
    <w:rsid w:val="00567DB3"/>
    <w:rsid w:val="005B3434"/>
    <w:rsid w:val="005E2884"/>
    <w:rsid w:val="005E5050"/>
    <w:rsid w:val="005F2C7B"/>
    <w:rsid w:val="005F4D04"/>
    <w:rsid w:val="005F7DA9"/>
    <w:rsid w:val="006054F8"/>
    <w:rsid w:val="0065419A"/>
    <w:rsid w:val="00654220"/>
    <w:rsid w:val="0065646D"/>
    <w:rsid w:val="00663B94"/>
    <w:rsid w:val="00677F66"/>
    <w:rsid w:val="00686317"/>
    <w:rsid w:val="006A0273"/>
    <w:rsid w:val="006C7F31"/>
    <w:rsid w:val="006E4E94"/>
    <w:rsid w:val="00710EFF"/>
    <w:rsid w:val="00723C78"/>
    <w:rsid w:val="00730BEE"/>
    <w:rsid w:val="0073101E"/>
    <w:rsid w:val="00735153"/>
    <w:rsid w:val="00745421"/>
    <w:rsid w:val="00785B6E"/>
    <w:rsid w:val="007A4219"/>
    <w:rsid w:val="0080200C"/>
    <w:rsid w:val="00804B61"/>
    <w:rsid w:val="00814110"/>
    <w:rsid w:val="0082561A"/>
    <w:rsid w:val="00846B2E"/>
    <w:rsid w:val="00853290"/>
    <w:rsid w:val="0085663C"/>
    <w:rsid w:val="008768AB"/>
    <w:rsid w:val="008926F7"/>
    <w:rsid w:val="00894EE6"/>
    <w:rsid w:val="008A4E1A"/>
    <w:rsid w:val="008A7510"/>
    <w:rsid w:val="008C78BD"/>
    <w:rsid w:val="008F0FA3"/>
    <w:rsid w:val="00900D90"/>
    <w:rsid w:val="0091283A"/>
    <w:rsid w:val="00927545"/>
    <w:rsid w:val="009279AF"/>
    <w:rsid w:val="009354D6"/>
    <w:rsid w:val="00970A98"/>
    <w:rsid w:val="009C781F"/>
    <w:rsid w:val="009D5296"/>
    <w:rsid w:val="009E6170"/>
    <w:rsid w:val="00A167EC"/>
    <w:rsid w:val="00A37451"/>
    <w:rsid w:val="00A4484F"/>
    <w:rsid w:val="00A645C8"/>
    <w:rsid w:val="00A76D4B"/>
    <w:rsid w:val="00A77C47"/>
    <w:rsid w:val="00A846CC"/>
    <w:rsid w:val="00A9119C"/>
    <w:rsid w:val="00AA4549"/>
    <w:rsid w:val="00AC5144"/>
    <w:rsid w:val="00B11E17"/>
    <w:rsid w:val="00B13014"/>
    <w:rsid w:val="00B17559"/>
    <w:rsid w:val="00B33B19"/>
    <w:rsid w:val="00B404E6"/>
    <w:rsid w:val="00B4360D"/>
    <w:rsid w:val="00B55230"/>
    <w:rsid w:val="00B61EA9"/>
    <w:rsid w:val="00B670D1"/>
    <w:rsid w:val="00B74DCA"/>
    <w:rsid w:val="00BC02E0"/>
    <w:rsid w:val="00BC3903"/>
    <w:rsid w:val="00BE47E0"/>
    <w:rsid w:val="00BF75C8"/>
    <w:rsid w:val="00C1762E"/>
    <w:rsid w:val="00C21839"/>
    <w:rsid w:val="00C25123"/>
    <w:rsid w:val="00C30A48"/>
    <w:rsid w:val="00C375A7"/>
    <w:rsid w:val="00C62DF8"/>
    <w:rsid w:val="00C640FB"/>
    <w:rsid w:val="00C70211"/>
    <w:rsid w:val="00C71F94"/>
    <w:rsid w:val="00C97E10"/>
    <w:rsid w:val="00CA3BF6"/>
    <w:rsid w:val="00CB054E"/>
    <w:rsid w:val="00CB2534"/>
    <w:rsid w:val="00CC52D7"/>
    <w:rsid w:val="00D23AB6"/>
    <w:rsid w:val="00D279E1"/>
    <w:rsid w:val="00D50309"/>
    <w:rsid w:val="00D51AA9"/>
    <w:rsid w:val="00D5210B"/>
    <w:rsid w:val="00D7264A"/>
    <w:rsid w:val="00D84E43"/>
    <w:rsid w:val="00D870DF"/>
    <w:rsid w:val="00DB0C2F"/>
    <w:rsid w:val="00DB3BF6"/>
    <w:rsid w:val="00DC31CC"/>
    <w:rsid w:val="00DC405C"/>
    <w:rsid w:val="00DC728A"/>
    <w:rsid w:val="00DD2F3C"/>
    <w:rsid w:val="00E03ECC"/>
    <w:rsid w:val="00E1059D"/>
    <w:rsid w:val="00E155DF"/>
    <w:rsid w:val="00E246E1"/>
    <w:rsid w:val="00E560F1"/>
    <w:rsid w:val="00E924F5"/>
    <w:rsid w:val="00E944FA"/>
    <w:rsid w:val="00E9797A"/>
    <w:rsid w:val="00EA7ABC"/>
    <w:rsid w:val="00EE0436"/>
    <w:rsid w:val="00F06DA6"/>
    <w:rsid w:val="00F1465C"/>
    <w:rsid w:val="00F41324"/>
    <w:rsid w:val="00F57C12"/>
    <w:rsid w:val="00F609FD"/>
    <w:rsid w:val="00F859AB"/>
    <w:rsid w:val="00F950D0"/>
    <w:rsid w:val="00FA2C26"/>
    <w:rsid w:val="00FF1F4A"/>
    <w:rsid w:val="01663C14"/>
    <w:rsid w:val="030F2BA7"/>
    <w:rsid w:val="04240CEE"/>
    <w:rsid w:val="065551D3"/>
    <w:rsid w:val="06C37561"/>
    <w:rsid w:val="0A236A5A"/>
    <w:rsid w:val="0BA075C8"/>
    <w:rsid w:val="0CAB045E"/>
    <w:rsid w:val="0E777F35"/>
    <w:rsid w:val="10C60AB9"/>
    <w:rsid w:val="111D4539"/>
    <w:rsid w:val="11B507C7"/>
    <w:rsid w:val="13297F9C"/>
    <w:rsid w:val="134727C6"/>
    <w:rsid w:val="141A5102"/>
    <w:rsid w:val="15FE575C"/>
    <w:rsid w:val="177920C8"/>
    <w:rsid w:val="18EC47C1"/>
    <w:rsid w:val="1A710931"/>
    <w:rsid w:val="1AB73E2C"/>
    <w:rsid w:val="1ADC05C7"/>
    <w:rsid w:val="1E911FB2"/>
    <w:rsid w:val="1F274305"/>
    <w:rsid w:val="20F325AF"/>
    <w:rsid w:val="216F6F5C"/>
    <w:rsid w:val="22E23E75"/>
    <w:rsid w:val="237D596B"/>
    <w:rsid w:val="24914F4C"/>
    <w:rsid w:val="2555668E"/>
    <w:rsid w:val="25AF3A81"/>
    <w:rsid w:val="25B229C2"/>
    <w:rsid w:val="26FD4196"/>
    <w:rsid w:val="27C45A2D"/>
    <w:rsid w:val="28CD1EA7"/>
    <w:rsid w:val="2945121F"/>
    <w:rsid w:val="2986009C"/>
    <w:rsid w:val="29F7636C"/>
    <w:rsid w:val="32955A2A"/>
    <w:rsid w:val="350229F7"/>
    <w:rsid w:val="36341C31"/>
    <w:rsid w:val="368076E6"/>
    <w:rsid w:val="378F5AE0"/>
    <w:rsid w:val="37F709A6"/>
    <w:rsid w:val="39E872E9"/>
    <w:rsid w:val="39FF2E40"/>
    <w:rsid w:val="3A6650AF"/>
    <w:rsid w:val="3ABE1FB8"/>
    <w:rsid w:val="3C753CC7"/>
    <w:rsid w:val="3E5A5620"/>
    <w:rsid w:val="3E5D4A0F"/>
    <w:rsid w:val="3F2C3B54"/>
    <w:rsid w:val="40990310"/>
    <w:rsid w:val="44F30C78"/>
    <w:rsid w:val="455D1C7B"/>
    <w:rsid w:val="459870AF"/>
    <w:rsid w:val="45ED49CE"/>
    <w:rsid w:val="46F0109E"/>
    <w:rsid w:val="47475A63"/>
    <w:rsid w:val="4BCA232B"/>
    <w:rsid w:val="4E276A76"/>
    <w:rsid w:val="506954C1"/>
    <w:rsid w:val="509017BA"/>
    <w:rsid w:val="51482FC3"/>
    <w:rsid w:val="52830253"/>
    <w:rsid w:val="541C469D"/>
    <w:rsid w:val="5617604A"/>
    <w:rsid w:val="56CE725E"/>
    <w:rsid w:val="5BE61B5E"/>
    <w:rsid w:val="5CA05A23"/>
    <w:rsid w:val="5E1125C8"/>
    <w:rsid w:val="5EC71EB3"/>
    <w:rsid w:val="602D020F"/>
    <w:rsid w:val="60EA4BD2"/>
    <w:rsid w:val="62BD595C"/>
    <w:rsid w:val="65444C1E"/>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3605</Words>
  <Characters>5215</Characters>
  <Lines>42</Lines>
  <Paragraphs>11</Paragraphs>
  <ScaleCrop>false</ScaleCrop>
  <LinksUpToDate>false</LinksUpToDate>
  <CharactersWithSpaces>5334</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2024-09-29T07:23:34Z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702C67F8043F463A9BCBB6ACF2CF6E52_12</vt:lpwstr>
  </property>
</Properties>
</file>