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hAnsi="黑体" w:eastAsia="黑体" w:cs="黑体"/>
          <w:b/>
          <w:kern w:val="2"/>
          <w:sz w:val="36"/>
        </w:rPr>
      </w:pPr>
      <w:r>
        <w:rPr>
          <w:rFonts w:hint="eastAsia" w:ascii="黑体" w:hAnsi="黑体" w:eastAsia="黑体" w:cs="黑体"/>
          <w:b/>
          <w:kern w:val="2"/>
          <w:sz w:val="36"/>
        </w:rPr>
        <w:t>南银理财创鑫财富牛1号公募人民币理财产品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南银理财创鑫财富牛1号公募人民币理财产品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Z7003220000002（投资者可依据该编码在中国理财网www.chinawealth.com.cn查询理财产品相关信息）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2016年4月20日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rPr>
                <w:rFonts w:hint="eastAsia"/>
              </w:rPr>
              <w:t>5,899,357,751.47</w:t>
            </w:r>
            <w:r>
              <w:t>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111.17%</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rPr>
              <w:t>5,910,472,928.83</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8"/>
              <w:jc w:val="center"/>
            </w:pPr>
            <w:r>
              <w:rPr>
                <w:rFonts w:hint="eastAsia"/>
              </w:rPr>
              <w:t>1.0019</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color w:val="000000"/>
              </w:rPr>
              <w:t>1.2120</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2020年，新冠疫情对宏观经济与金融市场的冲击贯穿全年。受疫情影响，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sectPr>
          <w:footerReference r:id="rId3" w:type="even"/>
          <w:pgSz w:w="11926" w:h="16867"/>
          <w:pgMar w:top="1418" w:right="1418" w:bottom="853" w:left="1418" w:header="851" w:footer="992" w:gutter="0"/>
          <w:cols w:space="720" w:num="1"/>
          <w:titlePg/>
          <w:docGrid w:linePitch="312" w:charSpace="0"/>
        </w:sectPr>
      </w:pP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市场方面，债券市场全年大幅波动。前四个月，受疫情冲击、全球央行货币政策全面放松等因素影响，债券收益率大幅下行，10年期国债一度向下突破2.5%。5月，随着我国疫情防控逐步常态化，基本面预期企稳，央行货币政策边际收紧，叠加利率债供给放量等因素共振，债券收益率快速走高。进入11月后，国企债券违约等信用风险事件导致债券市场出现普遍性调整，信用利差持续走阔。12月，在中央表态政策“不急转弯”，央行呵护流动性的影响下，债市走强。全年来看，10年期国债收益率收于3.14%，较上年末无变化。A股市场表现抢眼，尽管经历了疫情扰动，但在国内疫情控制得力、流动性相对宽松、龙头企业优势进一步扩大和居民财富加速入场等背景下，全年沪深300指数上涨达27%。</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债券市场的大幅波动对2020年的投资造成了一定困难。本系列坚持控制久期，减小了债市波动对产品带来的负面影响。展望未来，国内经济内生动力增强，但境外疫情和世界经济形势依然复杂严峻，预计全年债券维持震荡行情。投资上将继续坚持中短久期的票息策略为主，精选优质主体，并关注品种利差投资机会。权益方面，我们看好A股市场的长期配置价值，但同时关注到短期结构化高估带来的估值消化需求，2021年选股难度将有所增加。本系列将通过合理的参与模式设计，分享权益市场发展红利，并着重通过精选合作机构把握市场的阿尔法机会。</w:t>
      </w:r>
    </w:p>
    <w:p>
      <w:pPr>
        <w:pStyle w:val="8"/>
        <w:rPr>
          <w:b/>
          <w:color w:val="000000"/>
        </w:rPr>
      </w:pPr>
      <w:r>
        <w:rPr>
          <w:rFonts w:hint="eastAsia"/>
          <w:b/>
          <w:color w:val="000000"/>
        </w:rPr>
        <w:t>3.2 报告期内产品的流动性风险分析</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本产品持仓资产以债券为主，变现能力较强，同时合理控制个券集中度，流动性风险较低。</w:t>
      </w:r>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611"/>
        <w:gridCol w:w="204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2"/>
              <w:rPr>
                <w:rFonts w:hint="eastAsia" w:ascii="宋体" w:hAnsi="宋体" w:eastAsia="宋体" w:cs="宋体"/>
                <w:b/>
                <w:color w:val="000000"/>
                <w:kern w:val="2"/>
                <w:highlight w:val="none"/>
              </w:rPr>
            </w:pPr>
          </w:p>
        </w:tc>
        <w:tc>
          <w:tcPr>
            <w:tcW w:w="141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611"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4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rPr>
                <w:rFonts w:hint="eastAsia" w:ascii="宋体" w:hAnsi="宋体" w:eastAsia="宋体" w:cs="宋体"/>
                <w:b/>
                <w:color w:val="000000"/>
                <w:kern w:val="2"/>
                <w:highlight w:val="none"/>
                <w:lang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419"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019</w:t>
            </w:r>
          </w:p>
        </w:tc>
        <w:tc>
          <w:tcPr>
            <w:tcW w:w="1611"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w:t>
            </w:r>
            <w:r>
              <w:rPr>
                <w:rFonts w:hint="eastAsia" w:ascii="宋体" w:hAnsi="宋体" w:eastAsia="宋体" w:cs="宋体"/>
                <w:color w:val="000000"/>
                <w:highlight w:val="none"/>
                <w:lang w:val="en-US" w:eastAsia="zh-CN"/>
              </w:rPr>
              <w:t>2120</w:t>
            </w:r>
          </w:p>
        </w:tc>
        <w:tc>
          <w:tcPr>
            <w:tcW w:w="2045"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4"/>
                <w:highlight w:val="none"/>
                <w:lang w:val="en-US" w:eastAsia="zh-CN" w:bidi="ar-SA"/>
              </w:rPr>
            </w:pPr>
            <w:r>
              <w:rPr>
                <w:rFonts w:hint="eastAsia" w:ascii="宋体" w:hAnsi="宋体" w:eastAsia="宋体" w:cs="宋体"/>
                <w:color w:val="000000"/>
                <w:kern w:val="0"/>
                <w:sz w:val="22"/>
                <w:szCs w:val="24"/>
                <w:highlight w:val="none"/>
                <w:shd w:val="clear"/>
                <w:lang w:val="en-US" w:eastAsia="zh-CN" w:bidi="ar-SA"/>
              </w:rPr>
              <w:t>5,910,472,928.83</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4.28</w:t>
            </w:r>
            <w:r>
              <w:rPr>
                <w:rFonts w:hint="eastAsia" w:ascii="宋体" w:hAnsi="宋体" w:eastAsia="宋体" w:cs="宋体"/>
                <w:color w:val="000000"/>
                <w:kern w:val="2"/>
                <w:highlight w:val="none"/>
              </w:rPr>
              <w:t>%</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2020/6/17</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2020/7/15</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2020/11/18</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w:t>
            </w:r>
            <w:r>
              <w:rPr>
                <w:rFonts w:hint="eastAsia" w:ascii="宋体" w:hAnsi="宋体" w:eastAsia="宋体" w:cs="宋体"/>
                <w:color w:val="000000"/>
                <w:kern w:val="2"/>
                <w:highlight w:val="none"/>
              </w:rPr>
              <w:t>000</w:t>
            </w:r>
            <w:r>
              <w:rPr>
                <w:rFonts w:hint="eastAsia" w:ascii="宋体" w:hAnsi="宋体" w:eastAsia="宋体" w:cs="宋体"/>
                <w:color w:val="000000"/>
                <w:kern w:val="2"/>
                <w:highlight w:val="none"/>
                <w:lang w:val="en-US" w:eastAsia="zh-CN"/>
              </w:rPr>
              <w:t>3</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2020/12/15</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2020/12/15</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2020/12/15</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2020/12/16</w:t>
            </w:r>
          </w:p>
        </w:tc>
        <w:tc>
          <w:tcPr>
            <w:tcW w:w="1398"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0.0310</w:t>
            </w:r>
          </w:p>
        </w:tc>
      </w:tr>
    </w:tbl>
    <w:p>
      <w:pPr>
        <w:widowControl/>
        <w:jc w:val="left"/>
        <w:rPr>
          <w:rFonts w:ascii="宋体" w:hAnsi="宋体" w:cs="宋体"/>
          <w:color w:val="000000"/>
          <w:kern w:val="0"/>
          <w:sz w:val="24"/>
          <w:szCs w:val="24"/>
          <w:highlight w:val="none"/>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r>
        <w:t>在托管本产品的过程中，本产品托管人南京银行股份有限公司严格遵守《商业银行理财业务监督管理办法》相关法律法规的规定以及产品说明书的约定，对本产品管理人—</w:t>
      </w:r>
      <w:r>
        <w:rPr>
          <w:rFonts w:hint="eastAsia"/>
        </w:rPr>
        <w:t>南银理财有限责任公司</w:t>
      </w:r>
      <w:r>
        <w:t>2020年0</w:t>
      </w:r>
      <w:r>
        <w:rPr>
          <w:rFonts w:hint="eastAsia"/>
        </w:rPr>
        <w:t>4</w:t>
      </w:r>
      <w:r>
        <w:t>月</w:t>
      </w:r>
      <w:r>
        <w:rPr>
          <w:rFonts w:hint="eastAsia"/>
        </w:rPr>
        <w:t>15</w:t>
      </w:r>
      <w:r>
        <w:t>日至2020年12月31日产品的投资运作，进行了认</w:t>
      </w:r>
      <w:bookmarkStart w:id="0" w:name="_GoBack"/>
      <w:bookmarkEnd w:id="0"/>
      <w:r>
        <w:t>真、独立的会计核算和必要的投资监督，认真履行了托管人的义务，没有从事任何损害产品份额持有人利益的行为。</w:t>
      </w:r>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rPr>
          <w:color w:val="000000"/>
        </w:rPr>
      </w:pPr>
      <w:r>
        <w:rPr>
          <w:rFonts w:hint="eastAsia"/>
          <w:color w:val="000000"/>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pStyle w:val="20"/>
        <w:rPr>
          <w:rFonts w:hint="eastAsia"/>
          <w:b/>
          <w:bCs/>
          <w:color w:val="000000"/>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081800168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18瘦西湖ABN001优先</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194,948,027.05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3.30%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180203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18国开03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191,138,887.00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3.23%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137175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新睿1优A</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148,220,000.00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2.51%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2080012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20嘉兴创意债</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100,007,348.19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162983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20仪征01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100,000,881.70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081800118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18保利置业ABN001优先B</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100,000,391.13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031900379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19昆山银桥PPN001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99,998,368.99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170215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17国开15</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97,470,785.79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1.65%</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200202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20国开02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97,149,811.42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2028023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20招商银行永续债01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96,671,289.25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1.64%</w:t>
            </w:r>
          </w:p>
        </w:tc>
      </w:tr>
    </w:tbl>
    <w:p>
      <w:pPr>
        <w:pStyle w:val="23"/>
        <w:wordWrap w:val="0"/>
        <w:rPr>
          <w:color w:val="000000"/>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shd w:val="clear" w:color="auto" w:fill="FFFFFF"/>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shd w:val="clear" w:color="auto" w:fill="FFFFFF"/>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shd w:val="clear" w:color="auto" w:fill="FFFFFF"/>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shd w:val="clear" w:color="auto" w:fill="FFFFFF"/>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0120020000000285</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南京银行创鑫财富牛1号</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产品投资于关联方承销的证券交易金额20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002</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356.16元。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产品与关联方作为交易对手开展的投融资业务交易金额27</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900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000</w:t>
      </w:r>
      <w:r>
        <w:rPr>
          <w:rFonts w:hint="eastAsia" w:ascii="宋体" w:hAnsi="宋体" w:cs="宋体"/>
          <w:sz w:val="24"/>
          <w:szCs w:val="24"/>
          <w:highlight w:val="none"/>
          <w:lang w:val="en-US" w:eastAsia="zh-CN"/>
        </w:rPr>
        <w:t>.00</w:t>
      </w:r>
      <w:r>
        <w:rPr>
          <w:rFonts w:hint="eastAsia" w:ascii="宋体" w:hAnsi="宋体" w:eastAsia="宋体" w:cs="宋体"/>
          <w:sz w:val="24"/>
          <w:szCs w:val="24"/>
          <w:highlight w:val="none"/>
        </w:rPr>
        <w:t>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产品支付关联方托管费578</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298.12元，支付关联方代销费0.00元。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rPr>
      </w:pPr>
      <w:r>
        <w:rPr>
          <w:rFonts w:hint="eastAsia" w:ascii="宋体" w:hAnsi="宋体" w:eastAsia="宋体" w:cs="宋体"/>
          <w:sz w:val="24"/>
          <w:szCs w:val="24"/>
          <w:highlight w:val="none"/>
        </w:rPr>
        <w:t>报告期内，产品未发生重大关联交易。</w:t>
      </w: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5" w:type="first"/>
      <w:footerReference r:id="rId4" w:type="default"/>
      <w:pgSz w:w="11926" w:h="16867"/>
      <w:pgMar w:top="1418" w:right="1418" w:bottom="853"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474A"/>
    <w:rsid w:val="00061725"/>
    <w:rsid w:val="000A3711"/>
    <w:rsid w:val="000C3CEA"/>
    <w:rsid w:val="000D5066"/>
    <w:rsid w:val="000F6191"/>
    <w:rsid w:val="00117494"/>
    <w:rsid w:val="00130CE8"/>
    <w:rsid w:val="00152201"/>
    <w:rsid w:val="00153FC1"/>
    <w:rsid w:val="00172A27"/>
    <w:rsid w:val="00176636"/>
    <w:rsid w:val="0018089C"/>
    <w:rsid w:val="00183C84"/>
    <w:rsid w:val="001C05F9"/>
    <w:rsid w:val="001C5395"/>
    <w:rsid w:val="001C784E"/>
    <w:rsid w:val="001F6C04"/>
    <w:rsid w:val="00205C3C"/>
    <w:rsid w:val="00211F26"/>
    <w:rsid w:val="002263FC"/>
    <w:rsid w:val="00293808"/>
    <w:rsid w:val="002A3AE9"/>
    <w:rsid w:val="002A4E3B"/>
    <w:rsid w:val="002A4E96"/>
    <w:rsid w:val="002C196E"/>
    <w:rsid w:val="002D60EC"/>
    <w:rsid w:val="002D6591"/>
    <w:rsid w:val="002D75D0"/>
    <w:rsid w:val="002E55B2"/>
    <w:rsid w:val="002E795C"/>
    <w:rsid w:val="00305714"/>
    <w:rsid w:val="00313713"/>
    <w:rsid w:val="00313E71"/>
    <w:rsid w:val="00321CB7"/>
    <w:rsid w:val="00330655"/>
    <w:rsid w:val="003379A9"/>
    <w:rsid w:val="00350ADF"/>
    <w:rsid w:val="00355623"/>
    <w:rsid w:val="00397B2C"/>
    <w:rsid w:val="003A0419"/>
    <w:rsid w:val="003C4D3B"/>
    <w:rsid w:val="003C4DFF"/>
    <w:rsid w:val="003E09EA"/>
    <w:rsid w:val="003F0AC3"/>
    <w:rsid w:val="003F0EBA"/>
    <w:rsid w:val="00413B68"/>
    <w:rsid w:val="0042456C"/>
    <w:rsid w:val="00431F59"/>
    <w:rsid w:val="00456251"/>
    <w:rsid w:val="004B5875"/>
    <w:rsid w:val="004C1607"/>
    <w:rsid w:val="005069D8"/>
    <w:rsid w:val="00555B97"/>
    <w:rsid w:val="0056162E"/>
    <w:rsid w:val="00563B93"/>
    <w:rsid w:val="00567DB3"/>
    <w:rsid w:val="005B29A2"/>
    <w:rsid w:val="005B3434"/>
    <w:rsid w:val="005D23EB"/>
    <w:rsid w:val="005E00BD"/>
    <w:rsid w:val="005E2884"/>
    <w:rsid w:val="005E5050"/>
    <w:rsid w:val="005F2C7B"/>
    <w:rsid w:val="005F36FF"/>
    <w:rsid w:val="005F4D04"/>
    <w:rsid w:val="005F7DA9"/>
    <w:rsid w:val="006054F8"/>
    <w:rsid w:val="0065419A"/>
    <w:rsid w:val="00654220"/>
    <w:rsid w:val="00663B94"/>
    <w:rsid w:val="00677F66"/>
    <w:rsid w:val="006C7F31"/>
    <w:rsid w:val="006E4E94"/>
    <w:rsid w:val="006F52A3"/>
    <w:rsid w:val="00711897"/>
    <w:rsid w:val="00717E2D"/>
    <w:rsid w:val="00723C78"/>
    <w:rsid w:val="00730BEE"/>
    <w:rsid w:val="0073101E"/>
    <w:rsid w:val="00735153"/>
    <w:rsid w:val="00745421"/>
    <w:rsid w:val="0077164A"/>
    <w:rsid w:val="007A4219"/>
    <w:rsid w:val="007E3DC5"/>
    <w:rsid w:val="0080200C"/>
    <w:rsid w:val="00814110"/>
    <w:rsid w:val="0082561A"/>
    <w:rsid w:val="00846B2E"/>
    <w:rsid w:val="00853290"/>
    <w:rsid w:val="0085663C"/>
    <w:rsid w:val="008768AB"/>
    <w:rsid w:val="008926F7"/>
    <w:rsid w:val="008A7510"/>
    <w:rsid w:val="008B5EFC"/>
    <w:rsid w:val="008C78BD"/>
    <w:rsid w:val="008D0A1D"/>
    <w:rsid w:val="008F0FA3"/>
    <w:rsid w:val="00900D90"/>
    <w:rsid w:val="009149A1"/>
    <w:rsid w:val="009354D6"/>
    <w:rsid w:val="009410B7"/>
    <w:rsid w:val="00970A98"/>
    <w:rsid w:val="00981184"/>
    <w:rsid w:val="00990013"/>
    <w:rsid w:val="009B5DDD"/>
    <w:rsid w:val="009C781F"/>
    <w:rsid w:val="009D5296"/>
    <w:rsid w:val="009E6170"/>
    <w:rsid w:val="00A167EC"/>
    <w:rsid w:val="00A37451"/>
    <w:rsid w:val="00A4484F"/>
    <w:rsid w:val="00A76D4B"/>
    <w:rsid w:val="00A77C47"/>
    <w:rsid w:val="00A9119C"/>
    <w:rsid w:val="00AA4549"/>
    <w:rsid w:val="00AC5144"/>
    <w:rsid w:val="00B1204F"/>
    <w:rsid w:val="00B13014"/>
    <w:rsid w:val="00B17559"/>
    <w:rsid w:val="00B33B19"/>
    <w:rsid w:val="00B404E6"/>
    <w:rsid w:val="00B4360D"/>
    <w:rsid w:val="00B61EA9"/>
    <w:rsid w:val="00B670D1"/>
    <w:rsid w:val="00B74DCA"/>
    <w:rsid w:val="00BC02E0"/>
    <w:rsid w:val="00BC2DEF"/>
    <w:rsid w:val="00BC3903"/>
    <w:rsid w:val="00BD106C"/>
    <w:rsid w:val="00BE47E0"/>
    <w:rsid w:val="00BF75C8"/>
    <w:rsid w:val="00C04E42"/>
    <w:rsid w:val="00C1131D"/>
    <w:rsid w:val="00C1762E"/>
    <w:rsid w:val="00C25123"/>
    <w:rsid w:val="00C30A48"/>
    <w:rsid w:val="00C375A7"/>
    <w:rsid w:val="00C62DF8"/>
    <w:rsid w:val="00C640FB"/>
    <w:rsid w:val="00CB054E"/>
    <w:rsid w:val="00CC52D7"/>
    <w:rsid w:val="00CD5B91"/>
    <w:rsid w:val="00D033D4"/>
    <w:rsid w:val="00D23AB6"/>
    <w:rsid w:val="00D50309"/>
    <w:rsid w:val="00D51AA9"/>
    <w:rsid w:val="00D7264A"/>
    <w:rsid w:val="00D84E43"/>
    <w:rsid w:val="00D870DF"/>
    <w:rsid w:val="00DB0C2F"/>
    <w:rsid w:val="00DB3BF6"/>
    <w:rsid w:val="00DC31CC"/>
    <w:rsid w:val="00DC728A"/>
    <w:rsid w:val="00DD2F3C"/>
    <w:rsid w:val="00DD668B"/>
    <w:rsid w:val="00E058EF"/>
    <w:rsid w:val="00E1059D"/>
    <w:rsid w:val="00E155DF"/>
    <w:rsid w:val="00E167C7"/>
    <w:rsid w:val="00E17AF3"/>
    <w:rsid w:val="00E246E1"/>
    <w:rsid w:val="00E51FCB"/>
    <w:rsid w:val="00E560F1"/>
    <w:rsid w:val="00E944FA"/>
    <w:rsid w:val="00E9797A"/>
    <w:rsid w:val="00EA7ABC"/>
    <w:rsid w:val="00ED01C0"/>
    <w:rsid w:val="00EE0436"/>
    <w:rsid w:val="00F1465C"/>
    <w:rsid w:val="00F21682"/>
    <w:rsid w:val="00F27F99"/>
    <w:rsid w:val="00F310E7"/>
    <w:rsid w:val="00F40F0E"/>
    <w:rsid w:val="00F41324"/>
    <w:rsid w:val="00F57C12"/>
    <w:rsid w:val="00F609FD"/>
    <w:rsid w:val="00F748BF"/>
    <w:rsid w:val="00F859AB"/>
    <w:rsid w:val="00F950D0"/>
    <w:rsid w:val="00FA2C26"/>
    <w:rsid w:val="00FC5266"/>
    <w:rsid w:val="030F2BA7"/>
    <w:rsid w:val="04240CEE"/>
    <w:rsid w:val="065551D3"/>
    <w:rsid w:val="06C37561"/>
    <w:rsid w:val="06E76AA9"/>
    <w:rsid w:val="0A236A5A"/>
    <w:rsid w:val="0BA075C8"/>
    <w:rsid w:val="0CAB045E"/>
    <w:rsid w:val="10C60AB9"/>
    <w:rsid w:val="10CF71AF"/>
    <w:rsid w:val="111D4539"/>
    <w:rsid w:val="12F454A1"/>
    <w:rsid w:val="13297F9C"/>
    <w:rsid w:val="134727C6"/>
    <w:rsid w:val="141A5102"/>
    <w:rsid w:val="14CB3DD9"/>
    <w:rsid w:val="15FE575C"/>
    <w:rsid w:val="177920C8"/>
    <w:rsid w:val="17B550A3"/>
    <w:rsid w:val="18EC47C1"/>
    <w:rsid w:val="19CC6AE9"/>
    <w:rsid w:val="1A3500D6"/>
    <w:rsid w:val="1AB73E2C"/>
    <w:rsid w:val="1ADC05C7"/>
    <w:rsid w:val="1D7414B2"/>
    <w:rsid w:val="1E911FB2"/>
    <w:rsid w:val="1F1E63F1"/>
    <w:rsid w:val="1F274305"/>
    <w:rsid w:val="206B2AAA"/>
    <w:rsid w:val="20F325AF"/>
    <w:rsid w:val="216F6F5C"/>
    <w:rsid w:val="22E23E75"/>
    <w:rsid w:val="24914F4C"/>
    <w:rsid w:val="2555668E"/>
    <w:rsid w:val="259465A5"/>
    <w:rsid w:val="25AF3A81"/>
    <w:rsid w:val="25B229C2"/>
    <w:rsid w:val="26FD4196"/>
    <w:rsid w:val="284E0EBC"/>
    <w:rsid w:val="28CD1EA7"/>
    <w:rsid w:val="2945121F"/>
    <w:rsid w:val="2986009C"/>
    <w:rsid w:val="29F7636C"/>
    <w:rsid w:val="2B846C01"/>
    <w:rsid w:val="2E5B6A9C"/>
    <w:rsid w:val="312D0D0E"/>
    <w:rsid w:val="32955A2A"/>
    <w:rsid w:val="34D904C9"/>
    <w:rsid w:val="350229F7"/>
    <w:rsid w:val="36341C31"/>
    <w:rsid w:val="36486BE0"/>
    <w:rsid w:val="36634AF7"/>
    <w:rsid w:val="366C7687"/>
    <w:rsid w:val="368076E6"/>
    <w:rsid w:val="378F5AE0"/>
    <w:rsid w:val="37F709A6"/>
    <w:rsid w:val="38507A75"/>
    <w:rsid w:val="39E872E9"/>
    <w:rsid w:val="39FF2E40"/>
    <w:rsid w:val="3ABE1FB8"/>
    <w:rsid w:val="3C4C1C6D"/>
    <w:rsid w:val="3C753CC7"/>
    <w:rsid w:val="3D007530"/>
    <w:rsid w:val="3F2C3B54"/>
    <w:rsid w:val="3F6D6F3E"/>
    <w:rsid w:val="40990310"/>
    <w:rsid w:val="4229236F"/>
    <w:rsid w:val="44F30C78"/>
    <w:rsid w:val="459870AF"/>
    <w:rsid w:val="45ED49CE"/>
    <w:rsid w:val="46F0109E"/>
    <w:rsid w:val="473A65BE"/>
    <w:rsid w:val="47475A63"/>
    <w:rsid w:val="4764331E"/>
    <w:rsid w:val="49305A8C"/>
    <w:rsid w:val="4BCA232B"/>
    <w:rsid w:val="4D4828C8"/>
    <w:rsid w:val="4E276A76"/>
    <w:rsid w:val="506954C1"/>
    <w:rsid w:val="509017BA"/>
    <w:rsid w:val="51482FC3"/>
    <w:rsid w:val="52830253"/>
    <w:rsid w:val="541C469D"/>
    <w:rsid w:val="5617604A"/>
    <w:rsid w:val="5BE61B5E"/>
    <w:rsid w:val="5CA05A23"/>
    <w:rsid w:val="5EC71EB3"/>
    <w:rsid w:val="602D020F"/>
    <w:rsid w:val="60C71C2D"/>
    <w:rsid w:val="60EA4BD2"/>
    <w:rsid w:val="62BD595C"/>
    <w:rsid w:val="63CA55C3"/>
    <w:rsid w:val="65C2799B"/>
    <w:rsid w:val="66022E12"/>
    <w:rsid w:val="66F47EBC"/>
    <w:rsid w:val="670163BC"/>
    <w:rsid w:val="681903E9"/>
    <w:rsid w:val="68823415"/>
    <w:rsid w:val="6898111C"/>
    <w:rsid w:val="68A21F24"/>
    <w:rsid w:val="6A485270"/>
    <w:rsid w:val="6A970E7E"/>
    <w:rsid w:val="6BA70DD8"/>
    <w:rsid w:val="6D05415D"/>
    <w:rsid w:val="6F66394D"/>
    <w:rsid w:val="714B6F6E"/>
    <w:rsid w:val="72B2095C"/>
    <w:rsid w:val="72E15E16"/>
    <w:rsid w:val="73193673"/>
    <w:rsid w:val="742938C1"/>
    <w:rsid w:val="74543F24"/>
    <w:rsid w:val="74BE328D"/>
    <w:rsid w:val="76CA4360"/>
    <w:rsid w:val="77B45190"/>
    <w:rsid w:val="7A926C3F"/>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3406</Words>
  <Characters>4768</Characters>
  <Lines>39</Lines>
  <Paragraphs>10</Paragraphs>
  <TotalTime>0</TotalTime>
  <ScaleCrop>false</ScaleCrop>
  <LinksUpToDate>false</LinksUpToDate>
  <CharactersWithSpaces>4886</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2024-09-29T07:11:56Z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8D20C481968D414E88B7F88DC6F2429B_12</vt:lpwstr>
  </property>
</Properties>
</file>