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rPr>
          <w:b/>
          <w:bCs/>
          <w:color w:val="000000"/>
        </w:rPr>
      </w:pPr>
    </w:p>
    <w:p>
      <w:pPr>
        <w:pStyle w:val="26"/>
        <w:rPr>
          <w:b/>
          <w:bCs/>
          <w:color w:val="000000"/>
        </w:rPr>
      </w:pPr>
    </w:p>
    <w:p>
      <w:pPr>
        <w:pStyle w:val="26"/>
        <w:rPr>
          <w:b/>
          <w:bCs/>
          <w:color w:val="000000"/>
        </w:rPr>
      </w:pPr>
    </w:p>
    <w:p>
      <w:pPr>
        <w:pStyle w:val="26"/>
        <w:spacing w:before="240" w:after="120"/>
        <w:rPr>
          <w:rFonts w:ascii="黑体" w:eastAsia="黑体"/>
          <w:b/>
          <w:bCs/>
          <w:color w:val="000000"/>
          <w:sz w:val="36"/>
        </w:rPr>
      </w:pPr>
      <w:r>
        <w:rPr>
          <w:rFonts w:hint="eastAsia" w:ascii="黑体" w:hAnsi="黑体" w:eastAsia="黑体" w:cs="黑体"/>
          <w:b/>
          <w:kern w:val="2"/>
          <w:sz w:val="36"/>
        </w:rPr>
        <w:t>南银理财创鑫财富牛3号公募人民币理财产品</w:t>
      </w:r>
    </w:p>
    <w:p>
      <w:pPr>
        <w:pStyle w:val="26"/>
        <w:spacing w:before="240" w:after="120"/>
        <w:rPr>
          <w:rFonts w:ascii="黑体" w:hAnsi="黑体" w:eastAsia="黑体"/>
          <w:b/>
          <w:bCs/>
          <w:color w:val="000000"/>
          <w:sz w:val="36"/>
        </w:rPr>
      </w:pPr>
      <w:r>
        <w:rPr>
          <w:rFonts w:hint="eastAsia" w:ascii="黑体" w:eastAsia="黑体"/>
          <w:b/>
          <w:bCs/>
          <w:color w:val="000000"/>
          <w:sz w:val="36"/>
        </w:rPr>
        <w:t>2020</w:t>
      </w:r>
      <w:r>
        <w:rPr>
          <w:rFonts w:ascii="黑体" w:hAnsi="黑体" w:eastAsia="黑体"/>
          <w:b/>
          <w:bCs/>
          <w:color w:val="000000"/>
          <w:sz w:val="36"/>
        </w:rPr>
        <w:t>年</w:t>
      </w:r>
      <w:r>
        <w:rPr>
          <w:rFonts w:hint="eastAsia" w:ascii="黑体" w:hAnsi="Calibri" w:eastAsia="黑体"/>
          <w:b/>
          <w:color w:val="000000"/>
          <w:sz w:val="36"/>
        </w:rPr>
        <w:t>年度</w:t>
      </w:r>
      <w:r>
        <w:rPr>
          <w:rFonts w:ascii="黑体" w:hAnsi="黑体" w:eastAsia="黑体"/>
          <w:b/>
          <w:bCs/>
          <w:color w:val="000000"/>
          <w:sz w:val="36"/>
        </w:rPr>
        <w:t>报告</w:t>
      </w: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ind w:left="0"/>
        <w:jc w:val="both"/>
        <w:rPr>
          <w:rFonts w:ascii="黑体" w:hAnsi="黑体" w:eastAsia="黑体"/>
          <w:b/>
          <w:bCs/>
          <w:color w:val="000000"/>
          <w:sz w:val="36"/>
        </w:rPr>
      </w:pPr>
    </w:p>
    <w:p>
      <w:pPr>
        <w:pStyle w:val="26"/>
        <w:spacing w:before="240" w:after="120"/>
        <w:ind w:firstLine="2640" w:firstLineChars="1100"/>
        <w:jc w:val="both"/>
        <w:rPr>
          <w:color w:val="000000"/>
        </w:rPr>
      </w:pPr>
      <w:r>
        <w:rPr>
          <w:rFonts w:hint="eastAsia"/>
          <w:color w:val="000000"/>
        </w:rPr>
        <w:t>产品</w:t>
      </w:r>
      <w:r>
        <w:rPr>
          <w:color w:val="000000"/>
        </w:rPr>
        <w:t>管理人:</w:t>
      </w:r>
      <w:r>
        <w:rPr>
          <w:rFonts w:hint="eastAsia"/>
          <w:kern w:val="2"/>
        </w:rPr>
        <w:t>南银理财有限责任公司</w:t>
      </w:r>
    </w:p>
    <w:p>
      <w:pPr>
        <w:pStyle w:val="26"/>
        <w:spacing w:before="240" w:after="120"/>
        <w:ind w:firstLine="2640" w:firstLineChars="1100"/>
        <w:jc w:val="both"/>
        <w:rPr>
          <w:color w:val="000000"/>
        </w:rPr>
      </w:pPr>
      <w:r>
        <w:rPr>
          <w:rFonts w:hint="eastAsia"/>
          <w:color w:val="000000"/>
        </w:rPr>
        <w:t>产品</w:t>
      </w:r>
      <w:r>
        <w:rPr>
          <w:color w:val="000000"/>
        </w:rPr>
        <w:t>托管人:</w:t>
      </w:r>
      <w:r>
        <w:t>南京银行股份有限公司</w:t>
      </w:r>
    </w:p>
    <w:p>
      <w:pPr>
        <w:widowControl/>
        <w:jc w:val="left"/>
        <w:rPr>
          <w:b/>
          <w:bCs/>
          <w:color w:val="000000"/>
        </w:rPr>
      </w:pPr>
      <w:r>
        <w:rPr>
          <w:rFonts w:hint="eastAsia"/>
          <w:b/>
          <w:bCs/>
          <w:color w:val="000000"/>
        </w:rPr>
        <w:br w:type="page"/>
      </w:r>
    </w:p>
    <w:p>
      <w:pPr>
        <w:widowControl/>
        <w:jc w:val="left"/>
        <w:rPr>
          <w:rFonts w:ascii="宋体" w:hAnsi="宋体" w:cs="宋体"/>
          <w:color w:val="000000"/>
          <w:kern w:val="0"/>
          <w:sz w:val="24"/>
          <w:szCs w:val="24"/>
        </w:rPr>
      </w:pPr>
    </w:p>
    <w:p>
      <w:pPr>
        <w:pStyle w:val="26"/>
        <w:rPr>
          <w:color w:val="000000"/>
        </w:rPr>
      </w:pPr>
      <w:r>
        <w:rPr>
          <w:rFonts w:hint="eastAsia" w:hAnsi="Calibri"/>
          <w:b/>
          <w:color w:val="000000"/>
        </w:rPr>
        <w:t>§1 产品概况</w:t>
      </w:r>
    </w:p>
    <w:p>
      <w:pPr>
        <w:widowControl/>
        <w:jc w:val="left"/>
        <w:rPr>
          <w:rFonts w:ascii="宋体" w:hAnsi="宋体" w:cs="宋体"/>
          <w:color w:val="000000"/>
          <w:kern w:val="0"/>
          <w:sz w:val="24"/>
          <w:szCs w:val="24"/>
        </w:rPr>
      </w:pPr>
    </w:p>
    <w:tbl>
      <w:tblPr>
        <w:tblStyle w:val="13"/>
        <w:tblW w:w="9198" w:type="dxa"/>
        <w:tblInd w:w="108" w:type="dxa"/>
        <w:tblLayout w:type="fixed"/>
        <w:tblCellMar>
          <w:top w:w="0" w:type="dxa"/>
          <w:left w:w="108" w:type="dxa"/>
          <w:bottom w:w="0" w:type="dxa"/>
          <w:right w:w="108" w:type="dxa"/>
        </w:tblCellMar>
      </w:tblPr>
      <w:tblGrid>
        <w:gridCol w:w="2811"/>
        <w:gridCol w:w="6387"/>
      </w:tblGrid>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产品全称</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南银理财创鑫财富牛3号公募人民币理财产品</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产品登记编码</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pPr>
            <w:r>
              <w:t>Z7003220000006</w:t>
            </w:r>
            <w:r>
              <w:rPr>
                <w:rFonts w:hint="eastAsia"/>
              </w:rPr>
              <w:t>（投资者可依据该编码在中国理财网www.chinawealth.com.cn查询理财产品相关信息）</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产品运作方式</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开放式净值型</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产品成立日</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t>2017年11月30日</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报告期末产品份额总额</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highlight w:val="yellow"/>
              </w:rPr>
            </w:pPr>
            <w:r>
              <w:t>2,939,056,785.00份</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报告期末产品杠杆水平</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106.26%</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合作机构</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汇添富基金管理股份有限公司、易方达基金管理有限公司、南方基金管理股份有限公司、天弘基金管理有限公司</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产品管理人</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南银理财有限责任公司</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产品托管人</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南京银行股份有限公司</w:t>
            </w:r>
          </w:p>
        </w:tc>
      </w:tr>
    </w:tbl>
    <w:p>
      <w:pPr>
        <w:widowControl/>
        <w:jc w:val="left"/>
        <w:rPr>
          <w:rFonts w:ascii="宋体" w:hAnsi="宋体" w:cs="宋体"/>
          <w:color w:val="000000"/>
          <w:kern w:val="0"/>
          <w:sz w:val="24"/>
          <w:szCs w:val="24"/>
        </w:rPr>
      </w:pPr>
    </w:p>
    <w:p>
      <w:pPr>
        <w:pStyle w:val="26"/>
        <w:rPr>
          <w:rFonts w:hAnsi="Calibri"/>
          <w:b/>
          <w:color w:val="000000"/>
        </w:rPr>
      </w:pPr>
    </w:p>
    <w:p>
      <w:pPr>
        <w:pStyle w:val="26"/>
        <w:rPr>
          <w:color w:val="000000"/>
        </w:rPr>
      </w:pPr>
      <w:r>
        <w:rPr>
          <w:rFonts w:hint="eastAsia" w:hAnsi="Calibri"/>
          <w:b/>
          <w:color w:val="000000"/>
        </w:rPr>
        <w:t>§2  主要财务指标</w:t>
      </w:r>
    </w:p>
    <w:p>
      <w:pPr>
        <w:widowControl/>
        <w:jc w:val="left"/>
        <w:rPr>
          <w:rFonts w:ascii="宋体" w:hAnsi="宋体" w:cs="宋体"/>
          <w:color w:val="000000"/>
          <w:kern w:val="0"/>
          <w:sz w:val="24"/>
          <w:szCs w:val="24"/>
        </w:rPr>
      </w:pPr>
    </w:p>
    <w:p>
      <w:pPr>
        <w:pStyle w:val="20"/>
        <w:rPr>
          <w:color w:val="000000"/>
        </w:rPr>
      </w:pPr>
      <w:r>
        <w:rPr>
          <w:rFonts w:hint="eastAsia"/>
          <w:b/>
          <w:bCs/>
          <w:color w:val="000000"/>
        </w:rPr>
        <w:t>2.1 主要财务指标</w:t>
      </w:r>
    </w:p>
    <w:p>
      <w:pPr>
        <w:widowControl/>
        <w:autoSpaceDE w:val="0"/>
        <w:autoSpaceDN w:val="0"/>
        <w:adjustRightInd w:val="0"/>
        <w:spacing w:line="288" w:lineRule="auto"/>
        <w:jc w:val="right"/>
        <w:rPr>
          <w:rFonts w:ascii="宋体" w:hAnsi="宋体" w:cs="宋体"/>
          <w:color w:val="000000"/>
          <w:kern w:val="0"/>
          <w:sz w:val="24"/>
          <w:szCs w:val="24"/>
        </w:rPr>
      </w:pPr>
      <w:r>
        <w:rPr>
          <w:rFonts w:hint="eastAsia" w:ascii="宋体" w:cs="宋体"/>
          <w:color w:val="000000"/>
          <w:kern w:val="0"/>
          <w:sz w:val="24"/>
          <w:szCs w:val="24"/>
        </w:rPr>
        <w:t>单位：人民币元</w:t>
      </w:r>
    </w:p>
    <w:tbl>
      <w:tblPr>
        <w:tblStyle w:val="13"/>
        <w:tblW w:w="9045" w:type="dxa"/>
        <w:tblInd w:w="108" w:type="dxa"/>
        <w:tblLayout w:type="fixed"/>
        <w:tblCellMar>
          <w:top w:w="0" w:type="dxa"/>
          <w:left w:w="108" w:type="dxa"/>
          <w:bottom w:w="0" w:type="dxa"/>
          <w:right w:w="108" w:type="dxa"/>
        </w:tblCellMar>
      </w:tblPr>
      <w:tblGrid>
        <w:gridCol w:w="5220"/>
        <w:gridCol w:w="3825"/>
      </w:tblGrid>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jc w:val="center"/>
              <w:rPr>
                <w:color w:val="000000"/>
              </w:rPr>
            </w:pPr>
            <w:r>
              <w:rPr>
                <w:b/>
              </w:rPr>
              <w:t>主要财务指标</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6"/>
              <w:spacing w:before="240" w:after="120"/>
              <w:rPr>
                <w:color w:val="000000"/>
              </w:rPr>
            </w:pPr>
            <w:r>
              <w:t>报告期（2020年</w:t>
            </w:r>
            <w:r>
              <w:rPr>
                <w:rFonts w:hint="eastAsia"/>
              </w:rPr>
              <w:t>01</w:t>
            </w:r>
            <w:r>
              <w:t>月01日 - 2020年12月31日）</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1</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b/>
                <w:bCs/>
                <w:color w:val="000000"/>
                <w:highlight w:val="yellow"/>
              </w:rPr>
            </w:pPr>
            <w:r>
              <w:t>2,952,453,376.86</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2</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b/>
                <w:bCs/>
                <w:color w:val="000000"/>
                <w:highlight w:val="yellow"/>
              </w:rPr>
            </w:pPr>
            <w:r>
              <w:t>1.0046</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3</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b/>
                <w:bCs/>
                <w:color w:val="000000"/>
                <w:highlight w:val="yellow"/>
              </w:rPr>
            </w:pPr>
            <w:r>
              <w:rPr>
                <w:color w:val="000000"/>
              </w:rPr>
              <w:t>1.1494</w:t>
            </w:r>
          </w:p>
        </w:tc>
      </w:tr>
      <w:tr>
        <w:tblPrEx>
          <w:tblLayout w:type="fixed"/>
          <w:tblCellMar>
            <w:top w:w="0" w:type="dxa"/>
            <w:left w:w="108" w:type="dxa"/>
            <w:bottom w:w="0" w:type="dxa"/>
            <w:right w:w="108" w:type="dxa"/>
          </w:tblCellMar>
        </w:tblPrEx>
        <w:tc>
          <w:tcPr>
            <w:tcW w:w="5220" w:type="dxa"/>
            <w:vAlign w:val="center"/>
          </w:tcPr>
          <w:p>
            <w:pPr>
              <w:widowControl/>
              <w:jc w:val="left"/>
              <w:rPr>
                <w:rFonts w:ascii="宋体" w:hAnsi="宋体" w:cs="宋体"/>
                <w:color w:val="000000"/>
                <w:kern w:val="0"/>
                <w:sz w:val="24"/>
                <w:szCs w:val="24"/>
              </w:rPr>
            </w:pPr>
          </w:p>
        </w:tc>
        <w:tc>
          <w:tcPr>
            <w:tcW w:w="3825" w:type="dxa"/>
            <w:vAlign w:val="center"/>
          </w:tcPr>
          <w:p>
            <w:pPr>
              <w:widowControl/>
              <w:jc w:val="left"/>
              <w:rPr>
                <w:color w:val="000000"/>
                <w:kern w:val="0"/>
                <w:sz w:val="20"/>
                <w:szCs w:val="20"/>
              </w:rPr>
            </w:pPr>
          </w:p>
        </w:tc>
      </w:tr>
    </w:tbl>
    <w:p>
      <w:pPr>
        <w:pStyle w:val="25"/>
        <w:ind w:left="0"/>
        <w:rPr>
          <w:color w:val="000000"/>
        </w:rPr>
      </w:pPr>
    </w:p>
    <w:p>
      <w:pPr>
        <w:widowControl/>
        <w:jc w:val="left"/>
        <w:rPr>
          <w:rFonts w:ascii="宋体" w:hAnsi="宋体" w:cs="宋体"/>
          <w:color w:val="000000"/>
          <w:kern w:val="0"/>
          <w:sz w:val="24"/>
          <w:szCs w:val="24"/>
        </w:rPr>
      </w:pPr>
    </w:p>
    <w:p>
      <w:pPr>
        <w:pStyle w:val="26"/>
        <w:rPr>
          <w:b/>
          <w:color w:val="000000"/>
        </w:rPr>
      </w:pPr>
      <w:r>
        <w:rPr>
          <w:rFonts w:hint="eastAsia" w:hAnsi="Calibri"/>
          <w:b/>
          <w:color w:val="000000"/>
        </w:rPr>
        <w:t>§3  管理人报告</w:t>
      </w:r>
    </w:p>
    <w:p>
      <w:pPr>
        <w:pStyle w:val="8"/>
        <w:rPr>
          <w:b/>
          <w:color w:val="000000"/>
        </w:rPr>
      </w:pPr>
      <w:r>
        <w:rPr>
          <w:rFonts w:hint="eastAsia"/>
          <w:b/>
          <w:color w:val="000000"/>
        </w:rPr>
        <w:t>3.1 报告期内产品的投资策略和运作分析</w:t>
      </w:r>
    </w:p>
    <w:p>
      <w:pPr>
        <w:widowControl/>
        <w:adjustRightInd w:val="0"/>
        <w:snapToGrid w:val="0"/>
        <w:spacing w:afterLines="50" w:line="360" w:lineRule="auto"/>
        <w:ind w:firstLine="480" w:firstLineChars="200"/>
        <w:jc w:val="left"/>
        <w:rPr>
          <w:rFonts w:asciiTheme="minorEastAsia" w:hAnsiTheme="minorEastAsia" w:eastAsiaTheme="minorEastAsia"/>
          <w:kern w:val="0"/>
          <w:sz w:val="24"/>
          <w:szCs w:val="24"/>
        </w:rPr>
      </w:pPr>
      <w:bookmarkStart w:id="0" w:name="_Hlk63258303"/>
      <w:r>
        <w:rPr>
          <w:rFonts w:hint="eastAsia" w:asciiTheme="minorEastAsia" w:hAnsiTheme="minorEastAsia" w:eastAsiaTheme="minorEastAsia"/>
          <w:kern w:val="0"/>
          <w:sz w:val="24"/>
          <w:szCs w:val="24"/>
        </w:rPr>
        <w:t>2020年，新冠疫情对宏观经济与金融市场的冲击贯穿全年。受疫情影响，我国一季度经济明显收缩，投资、消费、出口均出呈现了萎缩态势，一季度经济增速同比下滑6.8%。二季度以来，全国疫情防控和复工复产取得明显成效，在宏观政策不断加大力度的背景下，国内经济呈全面复苏态势，并在世界主要经济体中率先实现正增长。据初步核算，2020年国内生产总值101.6万亿元，同比增长2.3%。</w:t>
      </w:r>
    </w:p>
    <w:p>
      <w:pPr>
        <w:widowControl/>
        <w:adjustRightInd w:val="0"/>
        <w:snapToGrid w:val="0"/>
        <w:spacing w:afterLines="50" w:line="360" w:lineRule="auto"/>
        <w:ind w:firstLine="480" w:firstLineChars="20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市场方面，债券市场全年大幅波动。前四个月，受疫情冲击、全球央行货币政策全面放松等因素影响，债券收益率大幅下行，10年期国债一度向下突破2.5%。5月，随着我国疫情防控逐步常态化，基本面预期企稳，央行货币政策边际收紧，叠加利率债供给放量等因素共振，债券收益率快速走高。进入11月后，国企债券违约等信用风险事件导致债券市场出现普遍性调整，信用利差持续走阔。12月，在中央表态政策“不急转弯”，央行呵护流动性的影响下，债市走强。全年来看，10年期国债收益率收于3.14%，较上年末无变化。A股市场表现抢眼，尽管经历了疫情扰动，但在国内疫情控制得力、流动性相对宽松、龙头企业优势进一步扩大和居民财富加速入场等背景下，全年沪深300指数上涨达27%。</w:t>
      </w:r>
    </w:p>
    <w:p>
      <w:pPr>
        <w:widowControl/>
        <w:adjustRightInd w:val="0"/>
        <w:snapToGrid w:val="0"/>
        <w:spacing w:afterLines="50" w:line="360" w:lineRule="auto"/>
        <w:ind w:firstLine="480" w:firstLineChars="20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债券市场的大幅波动对2020年的投资造成了一定困难。本系列坚持控制久期，减小了债市波动对产品带来的负面影响。展望未来，国内经济内生动力增强，但境外疫情和世界经济形势依然复杂严峻，预计全年债券维持震荡行情。投资上将继续坚持中短久期的票息策略为主，精选优质主体，并关注品种利差投资机会。权益方面，我们看好A股市场的长期配置价值，但同时关注到短期结构化高估带来的估值消化需求，2021年选股难度将有所增加。本系列将通过合理的参与模式设计，分享权益市场发展红利，并着重通过精选合作机构把握市场的阿尔法机会。</w:t>
      </w:r>
      <w:bookmarkEnd w:id="0"/>
    </w:p>
    <w:p>
      <w:pPr>
        <w:pStyle w:val="8"/>
        <w:rPr>
          <w:b/>
          <w:color w:val="000000"/>
        </w:rPr>
      </w:pPr>
      <w:r>
        <w:rPr>
          <w:rFonts w:hint="eastAsia"/>
          <w:b/>
          <w:color w:val="000000"/>
        </w:rPr>
        <w:t>3.2 报告期内产品的流动性风险分析</w:t>
      </w:r>
    </w:p>
    <w:p>
      <w:pPr>
        <w:widowControl/>
        <w:adjustRightInd w:val="0"/>
        <w:snapToGrid w:val="0"/>
        <w:spacing w:afterLines="50" w:line="360" w:lineRule="auto"/>
        <w:ind w:firstLine="480" w:firstLineChars="200"/>
        <w:jc w:val="left"/>
        <w:rPr>
          <w:rFonts w:asciiTheme="minorEastAsia" w:hAnsiTheme="minorEastAsia" w:eastAsiaTheme="minorEastAsia"/>
          <w:kern w:val="0"/>
          <w:sz w:val="24"/>
          <w:szCs w:val="24"/>
        </w:rPr>
      </w:pPr>
      <w:bookmarkStart w:id="1" w:name="_Hlk63258310"/>
      <w:r>
        <w:rPr>
          <w:rFonts w:hint="eastAsia" w:asciiTheme="minorEastAsia" w:hAnsiTheme="minorEastAsia" w:eastAsiaTheme="minorEastAsia"/>
          <w:kern w:val="0"/>
          <w:sz w:val="24"/>
          <w:szCs w:val="24"/>
        </w:rPr>
        <w:t>本产品持仓资产以债券为主，变现能力较强，同时合理控制个券集中度，流动性风险较低。</w:t>
      </w:r>
      <w:bookmarkEnd w:id="1"/>
    </w:p>
    <w:p>
      <w:pPr>
        <w:pStyle w:val="8"/>
        <w:rPr>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pPr>
        <w:pStyle w:val="8"/>
        <w:rPr>
          <w:b/>
          <w:color w:val="000000"/>
          <w:highlight w:val="none"/>
        </w:rPr>
      </w:pPr>
      <w:r>
        <w:rPr>
          <w:rFonts w:hint="eastAsia"/>
          <w:b/>
          <w:color w:val="000000"/>
          <w:highlight w:val="none"/>
        </w:rPr>
        <w:t>3.3.1 报告期内产品净值情况</w:t>
      </w:r>
    </w:p>
    <w:p>
      <w:pPr>
        <w:widowControl/>
        <w:autoSpaceDE w:val="0"/>
        <w:autoSpaceDN w:val="0"/>
        <w:adjustRightInd w:val="0"/>
        <w:spacing w:line="288" w:lineRule="auto"/>
        <w:jc w:val="righ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金额单位：人民币元</w:t>
      </w:r>
    </w:p>
    <w:tbl>
      <w:tblPr>
        <w:tblStyle w:val="13"/>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419"/>
        <w:gridCol w:w="1611"/>
        <w:gridCol w:w="2045"/>
        <w:gridCol w:w="2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vMerge w:val="restart"/>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销售代码</w:t>
            </w:r>
          </w:p>
        </w:tc>
        <w:tc>
          <w:tcPr>
            <w:tcW w:w="5075" w:type="dxa"/>
            <w:gridSpan w:val="3"/>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sz w:val="22"/>
                <w:szCs w:val="20"/>
                <w:highlight w:val="none"/>
              </w:rPr>
              <w:t>时点指标：报告期末</w:t>
            </w:r>
          </w:p>
        </w:tc>
        <w:tc>
          <w:tcPr>
            <w:tcW w:w="2155" w:type="dxa"/>
            <w:shd w:val="clear" w:color="auto" w:fill="auto"/>
            <w:vAlign w:val="center"/>
          </w:tcPr>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区间指标：报告期间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vMerge w:val="continue"/>
            <w:shd w:val="clear" w:color="auto" w:fill="auto"/>
            <w:vAlign w:val="center"/>
          </w:tcPr>
          <w:p>
            <w:pPr>
              <w:pStyle w:val="32"/>
              <w:rPr>
                <w:rFonts w:hint="eastAsia" w:ascii="宋体" w:hAnsi="宋体" w:eastAsia="宋体" w:cs="宋体"/>
                <w:b/>
                <w:color w:val="000000"/>
                <w:kern w:val="2"/>
                <w:highlight w:val="none"/>
              </w:rPr>
            </w:pPr>
          </w:p>
        </w:tc>
        <w:tc>
          <w:tcPr>
            <w:tcW w:w="1419"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份额净值</w:t>
            </w:r>
          </w:p>
        </w:tc>
        <w:tc>
          <w:tcPr>
            <w:tcW w:w="1611"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份额累计净值</w:t>
            </w:r>
          </w:p>
        </w:tc>
        <w:tc>
          <w:tcPr>
            <w:tcW w:w="2045"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资产净值</w:t>
            </w:r>
          </w:p>
        </w:tc>
        <w:tc>
          <w:tcPr>
            <w:tcW w:w="2155"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净值增长率/净值收益率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shd w:val="clear" w:color="auto" w:fill="auto"/>
            <w:vAlign w:val="center"/>
          </w:tcPr>
          <w:p>
            <w:pPr>
              <w:pStyle w:val="32"/>
              <w:rPr>
                <w:rFonts w:hint="default" w:ascii="宋体" w:hAnsi="宋体" w:eastAsia="宋体" w:cs="宋体"/>
                <w:b/>
                <w:color w:val="000000"/>
                <w:kern w:val="2"/>
                <w:highlight w:val="none"/>
                <w:lang w:val="en-US" w:eastAsia="zh-CN"/>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10008</w:t>
            </w:r>
          </w:p>
        </w:tc>
        <w:tc>
          <w:tcPr>
            <w:tcW w:w="141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1.0046</w:t>
            </w:r>
          </w:p>
        </w:tc>
        <w:tc>
          <w:tcPr>
            <w:tcW w:w="1611" w:type="dxa"/>
            <w:shd w:val="clear" w:color="auto" w:fill="auto"/>
            <w:vAlign w:val="center"/>
          </w:tcPr>
          <w:p>
            <w:pPr>
              <w:pStyle w:val="32"/>
              <w:rPr>
                <w:rFonts w:hint="default" w:ascii="宋体" w:hAnsi="宋体" w:eastAsia="宋体" w:cs="宋体"/>
                <w:color w:val="000000"/>
                <w:kern w:val="2"/>
                <w:highlight w:val="none"/>
                <w:lang w:val="en-US" w:eastAsia="zh-CN"/>
              </w:rPr>
            </w:pPr>
            <w:r>
              <w:rPr>
                <w:rFonts w:hint="eastAsia" w:ascii="宋体" w:hAnsi="宋体" w:eastAsia="宋体" w:cs="宋体"/>
                <w:color w:val="000000"/>
                <w:highlight w:val="none"/>
              </w:rPr>
              <w:t>1.</w:t>
            </w:r>
            <w:r>
              <w:rPr>
                <w:rFonts w:hint="eastAsia" w:ascii="宋体" w:hAnsi="宋体" w:eastAsia="宋体" w:cs="宋体"/>
                <w:color w:val="000000"/>
                <w:highlight w:val="none"/>
                <w:lang w:val="en-US" w:eastAsia="zh-CN"/>
              </w:rPr>
              <w:t>1494</w:t>
            </w:r>
          </w:p>
        </w:tc>
        <w:tc>
          <w:tcPr>
            <w:tcW w:w="2045" w:type="dxa"/>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2,952,453,376.86</w:t>
            </w:r>
          </w:p>
        </w:tc>
        <w:tc>
          <w:tcPr>
            <w:tcW w:w="2155"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4.55%</w:t>
            </w:r>
          </w:p>
        </w:tc>
      </w:tr>
    </w:tbl>
    <w:p>
      <w:pPr>
        <w:pStyle w:val="8"/>
        <w:rPr>
          <w:rFonts w:hint="eastAsia" w:ascii="宋体" w:hAnsi="宋体" w:eastAsia="宋体" w:cs="宋体"/>
          <w:b/>
          <w:color w:val="000000"/>
          <w:highlight w:val="none"/>
        </w:rPr>
      </w:pPr>
      <w:r>
        <w:rPr>
          <w:rFonts w:hint="eastAsia" w:ascii="宋体" w:hAnsi="宋体" w:eastAsia="宋体" w:cs="宋体"/>
          <w:b/>
          <w:color w:val="000000"/>
          <w:highlight w:val="none"/>
        </w:rPr>
        <w:t>3.3.2 报告期内产品收益分配情况</w:t>
      </w:r>
    </w:p>
    <w:p>
      <w:pPr>
        <w:pStyle w:val="32"/>
        <w:jc w:val="right"/>
        <w:rPr>
          <w:rFonts w:hint="eastAsia" w:ascii="宋体" w:hAnsi="宋体" w:eastAsia="宋体" w:cs="宋体"/>
          <w:color w:val="000000"/>
          <w:kern w:val="2"/>
          <w:highlight w:val="none"/>
        </w:rPr>
      </w:pPr>
      <w:r>
        <w:rPr>
          <w:rFonts w:hint="eastAsia" w:ascii="宋体" w:hAnsi="宋体" w:eastAsia="宋体" w:cs="宋体"/>
          <w:color w:val="000000"/>
          <w:kern w:val="2"/>
          <w:highlight w:val="none"/>
        </w:rPr>
        <w:t>金额单位：</w:t>
      </w:r>
      <w:r>
        <w:rPr>
          <w:rFonts w:hint="eastAsia" w:ascii="宋体" w:hAnsi="宋体" w:eastAsia="宋体" w:cs="宋体"/>
          <w:color w:val="000000"/>
          <w:sz w:val="24"/>
          <w:highlight w:val="none"/>
        </w:rPr>
        <w:t>人民币元</w:t>
      </w:r>
    </w:p>
    <w:tbl>
      <w:tblPr>
        <w:tblStyle w:val="13"/>
        <w:tblW w:w="83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7"/>
        <w:gridCol w:w="1397"/>
        <w:gridCol w:w="1397"/>
        <w:gridCol w:w="1397"/>
        <w:gridCol w:w="1397"/>
        <w:gridCol w:w="1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销售代码</w:t>
            </w:r>
          </w:p>
        </w:tc>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收益分配</w:t>
            </w:r>
          </w:p>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基准日</w:t>
            </w:r>
          </w:p>
        </w:tc>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权益</w:t>
            </w:r>
          </w:p>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登记日</w:t>
            </w:r>
          </w:p>
        </w:tc>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除息日</w:t>
            </w:r>
          </w:p>
        </w:tc>
        <w:tc>
          <w:tcPr>
            <w:tcW w:w="1397" w:type="dxa"/>
            <w:shd w:val="clear" w:color="auto" w:fill="auto"/>
            <w:vAlign w:val="center"/>
          </w:tcPr>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红利</w:t>
            </w:r>
          </w:p>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发放日</w:t>
            </w:r>
          </w:p>
        </w:tc>
        <w:tc>
          <w:tcPr>
            <w:tcW w:w="1398" w:type="dxa"/>
            <w:shd w:val="clear" w:color="auto" w:fill="auto"/>
            <w:vAlign w:val="center"/>
          </w:tcPr>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每10份额现金分红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10008</w:t>
            </w:r>
          </w:p>
        </w:tc>
        <w:tc>
          <w:tcPr>
            <w:tcW w:w="1397"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2020/5/19</w:t>
            </w:r>
          </w:p>
        </w:tc>
        <w:tc>
          <w:tcPr>
            <w:tcW w:w="1397"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2020/5/19</w:t>
            </w:r>
          </w:p>
        </w:tc>
        <w:tc>
          <w:tcPr>
            <w:tcW w:w="1397"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2020/5/19</w:t>
            </w:r>
          </w:p>
        </w:tc>
        <w:tc>
          <w:tcPr>
            <w:tcW w:w="1397"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2020/5/20</w:t>
            </w:r>
          </w:p>
        </w:tc>
        <w:tc>
          <w:tcPr>
            <w:tcW w:w="1398"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0.2190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10008</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2020/11/25</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2020/11/25</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2020/11/25</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2020/11/26</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0.2340</w:t>
            </w:r>
          </w:p>
        </w:tc>
      </w:tr>
    </w:tbl>
    <w:p>
      <w:pPr>
        <w:widowControl/>
        <w:jc w:val="left"/>
        <w:rPr>
          <w:rFonts w:ascii="宋体" w:hAnsi="宋体" w:cs="宋体"/>
          <w:color w:val="000000"/>
          <w:kern w:val="0"/>
          <w:sz w:val="24"/>
          <w:szCs w:val="24"/>
        </w:rPr>
      </w:pPr>
    </w:p>
    <w:p>
      <w:pPr>
        <w:pStyle w:val="26"/>
        <w:rPr>
          <w:rFonts w:hAnsi="Calibri"/>
          <w:b/>
          <w:color w:val="000000"/>
        </w:rPr>
      </w:pPr>
      <w:r>
        <w:rPr>
          <w:rFonts w:hint="eastAsia" w:hAnsi="Calibri"/>
          <w:b/>
          <w:color w:val="000000"/>
        </w:rPr>
        <w:t>§4  托管人报告</w:t>
      </w:r>
    </w:p>
    <w:p>
      <w:pPr>
        <w:pStyle w:val="26"/>
        <w:rPr>
          <w:rFonts w:hAnsi="Calibri"/>
          <w:b/>
          <w:color w:val="000000"/>
        </w:rPr>
      </w:pPr>
    </w:p>
    <w:p>
      <w:pPr>
        <w:pStyle w:val="8"/>
        <w:rPr>
          <w:b/>
          <w:color w:val="000000"/>
        </w:rPr>
      </w:pPr>
      <w:r>
        <w:rPr>
          <w:rFonts w:hint="eastAsia"/>
          <w:b/>
          <w:color w:val="000000"/>
        </w:rPr>
        <w:t>4.1报告期内托管人遵规守信情况声明</w:t>
      </w:r>
    </w:p>
    <w:p>
      <w:pPr>
        <w:pStyle w:val="25"/>
        <w:spacing w:line="360" w:lineRule="auto"/>
        <w:ind w:firstLine="480" w:firstLineChars="200"/>
        <w:rPr>
          <w:rFonts w:cs="Times New Roman"/>
          <w:b/>
          <w:color w:val="000000"/>
        </w:rPr>
      </w:pPr>
      <w:bookmarkStart w:id="2" w:name="_Hlk65766326"/>
      <w:r>
        <w:rPr>
          <w:rFonts w:hint="eastAsia"/>
        </w:rPr>
        <w:t>在托管本产品的过程中，本产品托管人南京银行股份有限公司严格遵守《商业银行理财业务监督管理办法》相关法律法规的规定以及产品说明书的约定，对本产品管理人</w:t>
      </w:r>
      <w:r>
        <w:t>—</w:t>
      </w:r>
      <w:r>
        <w:rPr>
          <w:rFonts w:hint="eastAsia"/>
        </w:rPr>
        <w:t>南银理财有限责任公司</w:t>
      </w:r>
      <w:r>
        <w:t>2020</w:t>
      </w:r>
      <w:r>
        <w:rPr>
          <w:rFonts w:hint="eastAsia"/>
        </w:rPr>
        <w:t>年</w:t>
      </w:r>
      <w:r>
        <w:t>01</w:t>
      </w:r>
      <w:r>
        <w:rPr>
          <w:rFonts w:hint="eastAsia"/>
        </w:rPr>
        <w:t>月</w:t>
      </w:r>
      <w:r>
        <w:t>01</w:t>
      </w:r>
      <w:r>
        <w:rPr>
          <w:rFonts w:hint="eastAsia"/>
        </w:rPr>
        <w:t>日至</w:t>
      </w:r>
      <w:r>
        <w:t>2020</w:t>
      </w:r>
      <w:r>
        <w:rPr>
          <w:rFonts w:hint="eastAsia"/>
        </w:rPr>
        <w:t>年</w:t>
      </w:r>
      <w:r>
        <w:t>12</w:t>
      </w:r>
      <w:r>
        <w:rPr>
          <w:rFonts w:hint="eastAsia"/>
        </w:rPr>
        <w:t>月</w:t>
      </w:r>
      <w:r>
        <w:t>31</w:t>
      </w:r>
      <w:r>
        <w:rPr>
          <w:rFonts w:hint="eastAsia"/>
        </w:rPr>
        <w:t>日产品的投资运作，进行了认真、独立的会计核算和必要的投资监督，认真履行了托管人的义务，没有从事任何损害产品份额持有人利益的行为。</w:t>
      </w:r>
      <w:bookmarkEnd w:id="2"/>
    </w:p>
    <w:p>
      <w:pPr>
        <w:pStyle w:val="25"/>
        <w:spacing w:line="360" w:lineRule="auto"/>
        <w:rPr>
          <w:rFonts w:cs="Times New Roman"/>
          <w:b/>
          <w:color w:val="000000"/>
        </w:rPr>
      </w:pPr>
      <w:r>
        <w:rPr>
          <w:rFonts w:hint="eastAsia" w:cs="Times New Roman"/>
          <w:b/>
          <w:color w:val="000000"/>
        </w:rPr>
        <w:t>4.2 托管人对报告期内投资运作遵规守信、净值计算、利润分配等情况的说明</w:t>
      </w:r>
    </w:p>
    <w:p>
      <w:pPr>
        <w:pStyle w:val="25"/>
        <w:spacing w:line="360" w:lineRule="auto"/>
        <w:ind w:firstLine="480"/>
        <w:rPr>
          <w:color w:val="000000"/>
        </w:rPr>
      </w:pPr>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pPr>
        <w:pStyle w:val="25"/>
        <w:spacing w:line="360" w:lineRule="auto"/>
        <w:rPr>
          <w:rFonts w:cs="Times New Roman"/>
          <w:b/>
          <w:color w:val="000000"/>
        </w:rPr>
      </w:pPr>
      <w:r>
        <w:rPr>
          <w:rFonts w:hint="eastAsia" w:cs="Times New Roman"/>
          <w:b/>
          <w:color w:val="000000"/>
        </w:rPr>
        <w:t>4.3 托管人对本年度报告中财务信息等内容的真实、准确和完整发表意见</w:t>
      </w:r>
    </w:p>
    <w:p>
      <w:pPr>
        <w:pStyle w:val="25"/>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p>
    <w:p>
      <w:pPr>
        <w:pStyle w:val="25"/>
        <w:spacing w:line="360" w:lineRule="auto"/>
        <w:ind w:firstLine="480"/>
        <w:rPr>
          <w:color w:val="000000"/>
        </w:rPr>
      </w:pPr>
    </w:p>
    <w:p>
      <w:pPr>
        <w:pStyle w:val="26"/>
        <w:rPr>
          <w:color w:val="000000"/>
        </w:rPr>
      </w:pPr>
      <w:r>
        <w:rPr>
          <w:rFonts w:hint="eastAsia" w:hAnsi="Calibri"/>
          <w:b/>
          <w:color w:val="000000"/>
        </w:rPr>
        <w:t>§</w:t>
      </w:r>
      <w:r>
        <w:rPr>
          <w:rFonts w:hint="eastAsia" w:hAnsi="Calibri"/>
          <w:b/>
          <w:color w:val="000000"/>
          <w:lang w:val="en-US" w:eastAsia="zh-CN"/>
        </w:rPr>
        <w:t>5</w:t>
      </w:r>
      <w:r>
        <w:rPr>
          <w:rFonts w:hint="eastAsia" w:hAnsi="Calibri"/>
          <w:b/>
          <w:color w:val="000000"/>
        </w:rPr>
        <w:t xml:space="preserve">  投资组合报告</w:t>
      </w:r>
    </w:p>
    <w:p>
      <w:pPr>
        <w:widowControl/>
        <w:jc w:val="left"/>
        <w:rPr>
          <w:rFonts w:ascii="宋体" w:hAnsi="宋体" w:cs="宋体"/>
          <w:color w:val="000000"/>
          <w:kern w:val="0"/>
          <w:sz w:val="24"/>
          <w:szCs w:val="24"/>
        </w:rPr>
      </w:pPr>
    </w:p>
    <w:p>
      <w:pPr>
        <w:pStyle w:val="20"/>
        <w:ind w:left="0"/>
      </w:pPr>
      <w:r>
        <w:rPr>
          <w:rFonts w:hint="eastAsia"/>
          <w:b/>
          <w:bCs/>
          <w:color w:val="000000"/>
          <w:lang w:val="en-US" w:eastAsia="zh-CN"/>
        </w:rPr>
        <w:t>5</w:t>
      </w:r>
      <w:r>
        <w:rPr>
          <w:rFonts w:hint="eastAsia"/>
          <w:b/>
          <w:bCs/>
          <w:color w:val="000000"/>
        </w:rPr>
        <w:t xml:space="preserve">.1 </w:t>
      </w:r>
      <w:r>
        <w:rPr>
          <w:rFonts w:hint="eastAsia"/>
          <w:b/>
          <w:bCs/>
        </w:rPr>
        <w:t>报告期末产品资产组合情况</w:t>
      </w:r>
    </w:p>
    <w:p>
      <w:pPr>
        <w:pStyle w:val="20"/>
        <w:ind w:left="0"/>
      </w:pPr>
    </w:p>
    <w:tbl>
      <w:tblPr>
        <w:tblStyle w:val="13"/>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固定收益类</w:t>
            </w:r>
          </w:p>
        </w:tc>
        <w:tc>
          <w:tcPr>
            <w:tcW w:w="3002"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99.20%</w:t>
            </w:r>
          </w:p>
        </w:tc>
        <w:tc>
          <w:tcPr>
            <w:tcW w:w="328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99.20%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权益类</w:t>
            </w:r>
          </w:p>
        </w:tc>
        <w:tc>
          <w:tcPr>
            <w:tcW w:w="3002"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0.00%</w:t>
            </w:r>
          </w:p>
        </w:tc>
        <w:tc>
          <w:tcPr>
            <w:tcW w:w="328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商品及金融衍生品类</w:t>
            </w:r>
          </w:p>
        </w:tc>
        <w:tc>
          <w:tcPr>
            <w:tcW w:w="3002"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0.00%</w:t>
            </w:r>
          </w:p>
        </w:tc>
        <w:tc>
          <w:tcPr>
            <w:tcW w:w="328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混合类</w:t>
            </w:r>
          </w:p>
        </w:tc>
        <w:tc>
          <w:tcPr>
            <w:tcW w:w="3002"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0.80%</w:t>
            </w:r>
          </w:p>
        </w:tc>
        <w:tc>
          <w:tcPr>
            <w:tcW w:w="328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c>
          <w:tcPr>
            <w:tcW w:w="328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100.00%</w:t>
            </w:r>
          </w:p>
        </w:tc>
      </w:tr>
    </w:tbl>
    <w:p>
      <w:pPr>
        <w:widowControl/>
        <w:jc w:val="left"/>
        <w:rPr>
          <w:rFonts w:ascii="宋体" w:hAnsi="宋体" w:cs="宋体"/>
          <w:color w:val="000000"/>
          <w:kern w:val="0"/>
          <w:sz w:val="24"/>
          <w:szCs w:val="24"/>
        </w:rPr>
      </w:pPr>
    </w:p>
    <w:p>
      <w:pPr>
        <w:pStyle w:val="20"/>
        <w:rPr>
          <w:b/>
          <w:bCs/>
          <w:color w:val="000000"/>
        </w:rPr>
      </w:pPr>
      <w:r>
        <w:rPr>
          <w:rFonts w:hint="eastAsia"/>
          <w:b/>
          <w:bCs/>
          <w:color w:val="000000"/>
          <w:lang w:val="en-US" w:eastAsia="zh-CN"/>
        </w:rPr>
        <w:t>5</w:t>
      </w:r>
      <w:r>
        <w:rPr>
          <w:rFonts w:hint="eastAsia"/>
          <w:b/>
          <w:bCs/>
          <w:color w:val="000000"/>
        </w:rPr>
        <w:t>.2 报告期末按公允价值资产净值比例大小排序的前十名资产投资明细</w:t>
      </w:r>
    </w:p>
    <w:tbl>
      <w:tblPr>
        <w:tblStyle w:val="13"/>
        <w:tblW w:w="8800" w:type="dxa"/>
        <w:tblInd w:w="93" w:type="dxa"/>
        <w:tblLayout w:type="fixed"/>
        <w:tblCellMar>
          <w:top w:w="0" w:type="dxa"/>
          <w:left w:w="108" w:type="dxa"/>
          <w:bottom w:w="0" w:type="dxa"/>
          <w:right w:w="108" w:type="dxa"/>
        </w:tblCellMar>
      </w:tblPr>
      <w:tblGrid>
        <w:gridCol w:w="582"/>
        <w:gridCol w:w="1728"/>
        <w:gridCol w:w="2690"/>
        <w:gridCol w:w="2035"/>
        <w:gridCol w:w="1765"/>
      </w:tblGrid>
      <w:tr>
        <w:tblPrEx>
          <w:tblLayout w:type="fixed"/>
          <w:tblCellMar>
            <w:top w:w="0" w:type="dxa"/>
            <w:left w:w="108" w:type="dxa"/>
            <w:bottom w:w="0" w:type="dxa"/>
            <w:right w:w="108" w:type="dxa"/>
          </w:tblCellMar>
        </w:tblPrEx>
        <w:trPr>
          <w:trHeight w:val="870" w:hRule="atLeast"/>
        </w:trPr>
        <w:tc>
          <w:tcPr>
            <w:tcW w:w="582" w:type="dxa"/>
            <w:tcBorders>
              <w:top w:val="single" w:color="000000" w:sz="8" w:space="0"/>
              <w:left w:val="single" w:color="000000" w:sz="8" w:space="0"/>
              <w:bottom w:val="single" w:color="000000" w:sz="8" w:space="0"/>
              <w:right w:val="single" w:color="000000" w:sz="8" w:space="0"/>
            </w:tcBorders>
            <w:vAlign w:val="center"/>
          </w:tcPr>
          <w:p>
            <w:pPr>
              <w:pStyle w:val="23"/>
              <w:rPr>
                <w:color w:val="000000"/>
              </w:rPr>
            </w:pPr>
            <w:r>
              <w:rPr>
                <w:rFonts w:hint="eastAsia"/>
                <w:color w:val="000000"/>
              </w:rPr>
              <w:t>序号</w:t>
            </w:r>
          </w:p>
        </w:tc>
        <w:tc>
          <w:tcPr>
            <w:tcW w:w="1728"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代码</w:t>
            </w:r>
          </w:p>
        </w:tc>
        <w:tc>
          <w:tcPr>
            <w:tcW w:w="2690"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名称</w:t>
            </w:r>
          </w:p>
        </w:tc>
        <w:tc>
          <w:tcPr>
            <w:tcW w:w="2035"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公允价值(元)</w:t>
            </w:r>
          </w:p>
        </w:tc>
        <w:tc>
          <w:tcPr>
            <w:tcW w:w="1765"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占产品资产净值比例（％）</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pPr>
            <w:r>
              <w:rPr>
                <w:rFonts w:hint="eastAsia"/>
                <w:color w:val="000000"/>
              </w:rPr>
              <w:t>1</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031900289</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19嘉兴秀洲PPN001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100,005,661.05</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3.39%</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2</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101900336</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19南京浦口MTN001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100,004,498.96</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3.39%</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3</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162567</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19邗江01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100,000,000.00</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3.39%</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4</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031900268</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19丽水城建PPN002</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90,003,593.75</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3.05%</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5</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1980093</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19凤城河债01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72,941,586.51</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2.47%</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6</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101900651</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19高淳国资MTN001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70,005,367.03</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2.37%</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7</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101900503</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19宁海交通MTN002</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70,004,566.91</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2.37%</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8</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155337</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19舜通01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61,585,163.40</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2.09%</w:t>
            </w:r>
          </w:p>
        </w:tc>
      </w:tr>
      <w:tr>
        <w:tblPrEx>
          <w:tblLayout w:type="fixed"/>
          <w:tblCellMar>
            <w:top w:w="0" w:type="dxa"/>
            <w:left w:w="108" w:type="dxa"/>
            <w:bottom w:w="0" w:type="dxa"/>
            <w:right w:w="108" w:type="dxa"/>
          </w:tblCellMar>
        </w:tblPrEx>
        <w:trPr>
          <w:trHeight w:val="355"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9</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123046</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16宁水01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60,038,387.79</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2.03%</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10</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031900891</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19盐城高新PPN005</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60,007,436.41</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2.03%</w:t>
            </w:r>
          </w:p>
        </w:tc>
      </w:tr>
    </w:tbl>
    <w:p>
      <w:pPr>
        <w:widowControl/>
        <w:jc w:val="left"/>
        <w:rPr>
          <w:rFonts w:ascii="宋体" w:hAnsi="宋体" w:cs="宋体"/>
          <w:b/>
          <w:sz w:val="24"/>
          <w:szCs w:val="24"/>
          <w:shd w:val="clear" w:color="auto" w:fill="FFFFFF"/>
        </w:rPr>
      </w:pPr>
    </w:p>
    <w:p>
      <w:pPr>
        <w:widowControl/>
        <w:jc w:val="left"/>
        <w:rPr>
          <w:rFonts w:ascii="宋体" w:hAnsi="宋体" w:cs="宋体"/>
          <w:b/>
          <w:sz w:val="24"/>
          <w:szCs w:val="24"/>
          <w:shd w:val="clear" w:color="auto" w:fill="FFFFFF"/>
        </w:rPr>
      </w:pPr>
      <w:r>
        <w:rPr>
          <w:rFonts w:hint="eastAsia" w:ascii="宋体" w:hAnsi="宋体" w:cs="宋体"/>
          <w:b/>
          <w:sz w:val="24"/>
          <w:szCs w:val="24"/>
          <w:shd w:val="clear" w:color="auto" w:fill="FFFFFF"/>
          <w:lang w:val="en-US" w:eastAsia="zh-CN"/>
        </w:rPr>
        <w:t>5</w:t>
      </w:r>
      <w:r>
        <w:rPr>
          <w:rFonts w:hint="eastAsia" w:ascii="宋体" w:hAnsi="宋体" w:cs="宋体"/>
          <w:b/>
          <w:sz w:val="24"/>
          <w:szCs w:val="24"/>
          <w:shd w:val="clear" w:color="auto" w:fill="FFFFFF"/>
        </w:rPr>
        <w:t>.3报告期末非标准化债权类资产明细</w:t>
      </w:r>
    </w:p>
    <w:p>
      <w:pPr>
        <w:widowControl/>
        <w:jc w:val="left"/>
        <w:rPr>
          <w:b/>
          <w:shd w:val="clear" w:color="auto" w:fill="FFFFFF"/>
        </w:rPr>
      </w:pPr>
    </w:p>
    <w:tbl>
      <w:tblPr>
        <w:tblStyle w:val="13"/>
        <w:tblW w:w="8931" w:type="dxa"/>
        <w:tblInd w:w="108" w:type="dxa"/>
        <w:tblLayout w:type="fixed"/>
        <w:tblCellMar>
          <w:top w:w="0" w:type="dxa"/>
          <w:left w:w="108" w:type="dxa"/>
          <w:bottom w:w="0" w:type="dxa"/>
          <w:right w:w="108" w:type="dxa"/>
        </w:tblCellMar>
      </w:tblPr>
      <w:tblGrid>
        <w:gridCol w:w="709"/>
        <w:gridCol w:w="1276"/>
        <w:gridCol w:w="1701"/>
        <w:gridCol w:w="1417"/>
        <w:gridCol w:w="1701"/>
        <w:gridCol w:w="1276"/>
        <w:gridCol w:w="851"/>
      </w:tblGrid>
      <w:tr>
        <w:tblPrEx>
          <w:tblLayout w:type="fixed"/>
          <w:tblCellMar>
            <w:top w:w="0" w:type="dxa"/>
            <w:left w:w="108" w:type="dxa"/>
            <w:bottom w:w="0" w:type="dxa"/>
            <w:right w:w="108" w:type="dxa"/>
          </w:tblCellMar>
        </w:tblPrEx>
        <w:tc>
          <w:tcPr>
            <w:tcW w:w="709"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hAnsi="Calibri"/>
                <w:shd w:val="clear" w:color="auto" w:fill="FFFFFF"/>
              </w:rPr>
              <w:t>序号</w:t>
            </w:r>
          </w:p>
        </w:tc>
        <w:tc>
          <w:tcPr>
            <w:tcW w:w="1276"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融资客户</w:t>
            </w:r>
          </w:p>
        </w:tc>
        <w:tc>
          <w:tcPr>
            <w:tcW w:w="170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hAnsi="Calibri"/>
                <w:shd w:val="clear" w:color="auto" w:fill="FFFFFF"/>
              </w:rPr>
              <w:t>项目名称</w:t>
            </w:r>
          </w:p>
        </w:tc>
        <w:tc>
          <w:tcPr>
            <w:tcW w:w="1417"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剩余融资期限</w:t>
            </w:r>
          </w:p>
        </w:tc>
        <w:tc>
          <w:tcPr>
            <w:tcW w:w="170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到期收益分配</w:t>
            </w:r>
          </w:p>
        </w:tc>
        <w:tc>
          <w:tcPr>
            <w:tcW w:w="1276"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交易结构</w:t>
            </w:r>
          </w:p>
        </w:tc>
        <w:tc>
          <w:tcPr>
            <w:tcW w:w="85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风险状况</w:t>
            </w:r>
          </w:p>
        </w:tc>
      </w:tr>
      <w:tr>
        <w:tblPrEx>
          <w:tblLayout w:type="fixed"/>
          <w:tblCellMar>
            <w:top w:w="0" w:type="dxa"/>
            <w:left w:w="108" w:type="dxa"/>
            <w:bottom w:w="0" w:type="dxa"/>
            <w:right w:w="108" w:type="dxa"/>
          </w:tblCellMar>
        </w:tblPrEx>
        <w:tc>
          <w:tcPr>
            <w:tcW w:w="709" w:type="dxa"/>
            <w:tcBorders>
              <w:top w:val="single" w:color="000000" w:sz="8" w:space="0"/>
              <w:left w:val="single" w:color="000000" w:sz="8" w:space="0"/>
              <w:bottom w:val="single" w:color="000000" w:sz="8" w:space="0"/>
              <w:right w:val="single" w:color="000000" w:sz="8" w:space="0"/>
            </w:tcBorders>
            <w:vAlign w:val="center"/>
          </w:tcPr>
          <w:p>
            <w:pPr>
              <w:pStyle w:val="23"/>
              <w:wordWrap w:val="0"/>
              <w:rPr>
                <w:shd w:val="clear" w:color="auto" w:fill="FFFFFF"/>
              </w:rPr>
            </w:pPr>
            <w:r>
              <w:rPr>
                <w:rFonts w:hint="eastAsia"/>
              </w:rPr>
              <w:t>1</w:t>
            </w:r>
          </w:p>
        </w:tc>
        <w:tc>
          <w:tcPr>
            <w:tcW w:w="1276"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c>
          <w:tcPr>
            <w:tcW w:w="1701"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c>
          <w:tcPr>
            <w:tcW w:w="1417"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1701"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1276"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851"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r>
    </w:tbl>
    <w:p>
      <w:pPr>
        <w:widowControl/>
        <w:jc w:val="left"/>
        <w:rPr>
          <w:rFonts w:ascii="宋体" w:hAnsi="宋体" w:cs="宋体"/>
          <w:color w:val="000000"/>
          <w:kern w:val="0"/>
          <w:sz w:val="24"/>
          <w:szCs w:val="24"/>
          <w:highlight w:val="none"/>
        </w:rPr>
      </w:pPr>
    </w:p>
    <w:p>
      <w:pPr>
        <w:pStyle w:val="26"/>
        <w:rPr>
          <w:b/>
          <w:bCs/>
          <w:color w:val="000000"/>
          <w:highlight w:val="none"/>
        </w:rPr>
      </w:pPr>
      <w:r>
        <w:rPr>
          <w:rFonts w:hint="eastAsia"/>
          <w:b/>
          <w:bCs/>
          <w:color w:val="000000"/>
          <w:highlight w:val="none"/>
        </w:rPr>
        <w:t>§</w:t>
      </w:r>
      <w:r>
        <w:rPr>
          <w:rFonts w:hint="eastAsia"/>
          <w:b/>
          <w:bCs/>
          <w:color w:val="000000"/>
          <w:highlight w:val="none"/>
          <w:lang w:val="en-US" w:eastAsia="zh-CN"/>
        </w:rPr>
        <w:t>6</w:t>
      </w:r>
      <w:r>
        <w:rPr>
          <w:rFonts w:hint="eastAsia"/>
          <w:b/>
          <w:bCs/>
          <w:color w:val="000000"/>
          <w:highlight w:val="none"/>
        </w:rPr>
        <w:t xml:space="preserve"> 投资账户信息</w:t>
      </w:r>
    </w:p>
    <w:tbl>
      <w:tblPr>
        <w:tblStyle w:val="13"/>
        <w:tblW w:w="9205" w:type="dxa"/>
        <w:tblInd w:w="95" w:type="dxa"/>
        <w:tblLayout w:type="fixed"/>
        <w:tblCellMar>
          <w:top w:w="0" w:type="dxa"/>
          <w:left w:w="108" w:type="dxa"/>
          <w:bottom w:w="0" w:type="dxa"/>
          <w:right w:w="108" w:type="dxa"/>
        </w:tblCellMar>
      </w:tblPr>
      <w:tblGrid>
        <w:gridCol w:w="711"/>
        <w:gridCol w:w="1320"/>
        <w:gridCol w:w="2390"/>
        <w:gridCol w:w="3463"/>
        <w:gridCol w:w="1321"/>
      </w:tblGrid>
      <w:tr>
        <w:tblPrEx>
          <w:tblLayout w:type="fixed"/>
          <w:tblCellMar>
            <w:top w:w="0" w:type="dxa"/>
            <w:left w:w="108" w:type="dxa"/>
            <w:bottom w:w="0" w:type="dxa"/>
            <w:right w:w="108" w:type="dxa"/>
          </w:tblCellMar>
        </w:tblPrEx>
        <w:trPr>
          <w:trHeight w:val="705" w:hRule="atLeast"/>
        </w:trPr>
        <w:tc>
          <w:tcPr>
            <w:tcW w:w="711" w:type="dxa"/>
            <w:tcBorders>
              <w:top w:val="single" w:color="000000" w:sz="8" w:space="0"/>
              <w:left w:val="single" w:color="000000" w:sz="8" w:space="0"/>
              <w:bottom w:val="single" w:color="000000" w:sz="6" w:space="0"/>
              <w:right w:val="single" w:color="000000" w:sz="8" w:space="0"/>
            </w:tcBorders>
            <w:vAlign w:val="center"/>
          </w:tcPr>
          <w:p>
            <w:pPr>
              <w:pStyle w:val="23"/>
              <w:rPr>
                <w:highlight w:val="none"/>
                <w:shd w:val="clear" w:color="auto" w:fill="FFFFFF"/>
              </w:rPr>
            </w:pPr>
            <w:r>
              <w:rPr>
                <w:rFonts w:hint="eastAsia" w:hAnsi="Calibri"/>
                <w:highlight w:val="none"/>
                <w:shd w:val="clear" w:color="auto" w:fill="FFFFFF"/>
              </w:rPr>
              <w:t>序号</w:t>
            </w:r>
          </w:p>
        </w:tc>
        <w:tc>
          <w:tcPr>
            <w:tcW w:w="1320"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账户类型</w:t>
            </w:r>
          </w:p>
        </w:tc>
        <w:tc>
          <w:tcPr>
            <w:tcW w:w="2390"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Ansi="Calibri"/>
                <w:highlight w:val="none"/>
                <w:shd w:val="clear" w:color="auto" w:fill="FFFFFF"/>
              </w:rPr>
              <w:t>账号</w:t>
            </w:r>
          </w:p>
        </w:tc>
        <w:tc>
          <w:tcPr>
            <w:tcW w:w="3463"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账户名称</w:t>
            </w:r>
          </w:p>
        </w:tc>
        <w:tc>
          <w:tcPr>
            <w:tcW w:w="1321"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开户单位</w:t>
            </w:r>
          </w:p>
        </w:tc>
      </w:tr>
      <w:tr>
        <w:tblPrEx>
          <w:tblLayout w:type="fixed"/>
          <w:tblCellMar>
            <w:top w:w="0" w:type="dxa"/>
            <w:left w:w="108" w:type="dxa"/>
            <w:bottom w:w="0" w:type="dxa"/>
            <w:right w:w="108" w:type="dxa"/>
          </w:tblCellMar>
        </w:tblPrEx>
        <w:trPr>
          <w:trHeight w:val="364" w:hRule="atLeast"/>
        </w:trPr>
        <w:tc>
          <w:tcPr>
            <w:tcW w:w="711"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Ansi="Calibri"/>
                <w:highlight w:val="none"/>
                <w:shd w:val="clear" w:color="auto" w:fill="FFFFFF"/>
              </w:rPr>
              <w:t>1</w:t>
            </w:r>
          </w:p>
        </w:tc>
        <w:tc>
          <w:tcPr>
            <w:tcW w:w="1320" w:type="dxa"/>
            <w:tcBorders>
              <w:top w:val="single" w:color="000000" w:sz="8" w:space="0"/>
              <w:left w:val="single" w:color="000000" w:sz="8" w:space="0"/>
              <w:bottom w:val="single" w:color="000000" w:sz="8" w:space="0"/>
              <w:right w:val="single" w:color="000000" w:sz="8" w:space="0"/>
            </w:tcBorders>
            <w:vAlign w:val="bottom"/>
          </w:tcPr>
          <w:p>
            <w:pPr>
              <w:pStyle w:val="23"/>
              <w:wordWrap w:val="0"/>
              <w:rPr>
                <w:highlight w:val="none"/>
                <w:shd w:val="clear" w:color="auto" w:fill="FFFFFF"/>
              </w:rPr>
            </w:pPr>
            <w:r>
              <w:rPr>
                <w:highlight w:val="none"/>
                <w:shd w:val="clear" w:color="auto" w:fill="FFFFFF"/>
              </w:rPr>
              <w:t>托管账户</w:t>
            </w:r>
          </w:p>
        </w:tc>
        <w:tc>
          <w:tcPr>
            <w:tcW w:w="2390"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0120080000000287</w:t>
            </w:r>
          </w:p>
        </w:tc>
        <w:tc>
          <w:tcPr>
            <w:tcW w:w="3463"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南京银行创鑫财富牛3号</w:t>
            </w:r>
          </w:p>
        </w:tc>
        <w:tc>
          <w:tcPr>
            <w:tcW w:w="1321"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highlight w:val="none"/>
                <w:shd w:val="clear" w:color="auto" w:fill="FFFFFF"/>
              </w:rPr>
              <w:t>南京银行</w:t>
            </w:r>
          </w:p>
        </w:tc>
      </w:tr>
    </w:tbl>
    <w:p>
      <w:pPr>
        <w:widowControl/>
        <w:jc w:val="left"/>
        <w:rPr>
          <w:rFonts w:ascii="宋体" w:hAnsi="宋体" w:cs="宋体"/>
          <w:color w:val="000000"/>
          <w:kern w:val="0"/>
          <w:sz w:val="24"/>
          <w:szCs w:val="24"/>
          <w:highlight w:val="none"/>
        </w:rPr>
      </w:pPr>
    </w:p>
    <w:p>
      <w:pPr>
        <w:widowControl/>
        <w:jc w:val="left"/>
        <w:rPr>
          <w:rFonts w:ascii="宋体" w:hAnsi="宋体" w:cs="宋体"/>
          <w:color w:val="000000"/>
          <w:kern w:val="0"/>
          <w:sz w:val="24"/>
          <w:szCs w:val="24"/>
          <w:highlight w:val="none"/>
        </w:rPr>
      </w:pPr>
    </w:p>
    <w:p>
      <w:pPr>
        <w:pStyle w:val="26"/>
        <w:rPr>
          <w:color w:val="000000"/>
          <w:highlight w:val="none"/>
        </w:rPr>
      </w:pPr>
      <w:r>
        <w:rPr>
          <w:rFonts w:hint="eastAsia"/>
          <w:b/>
          <w:bCs/>
          <w:color w:val="000000"/>
          <w:highlight w:val="none"/>
        </w:rPr>
        <w:t>§7 关联交易情况</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报告期内，</w:t>
      </w:r>
      <w:r>
        <w:rPr>
          <w:rFonts w:hint="eastAsia" w:ascii="宋体" w:hAnsi="宋体" w:eastAsia="宋体" w:cs="宋体"/>
          <w:color w:val="000000"/>
          <w:kern w:val="0"/>
          <w:sz w:val="24"/>
          <w:szCs w:val="24"/>
          <w:highlight w:val="none"/>
        </w:rPr>
        <w:t>产品投资于关联方发行的证券0.00元。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产品投资于关联方作为融资人的非标准化债权类资产业务交易金额0.00元。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产品投资于关联方承销的证券交易金额0.00元。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产品与关联方作为交易对手开展的投融资业务交易金额39</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933</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347.94元。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产品投资关联方作为管理人的资产管理产品交易金额0.00元。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产品支付关联方托管费137</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689.68元，支付关联方代销费0.00元。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产品发生其他关联交易金额0.00元。</w:t>
      </w:r>
    </w:p>
    <w:p>
      <w:pPr>
        <w:spacing w:before="240" w:after="72" w:afterLines="30" w:line="360" w:lineRule="auto"/>
        <w:ind w:firstLine="480" w:firstLineChars="200"/>
        <w:rPr>
          <w:rFonts w:ascii="宋体" w:hAnsi="宋体" w:cs="宋体"/>
          <w:color w:val="000000"/>
          <w:kern w:val="0"/>
          <w:sz w:val="24"/>
          <w:szCs w:val="24"/>
          <w:highlight w:val="none"/>
        </w:rPr>
      </w:pPr>
      <w:r>
        <w:rPr>
          <w:rFonts w:hint="eastAsia" w:ascii="宋体" w:hAnsi="宋体" w:eastAsia="宋体" w:cs="宋体"/>
          <w:sz w:val="24"/>
          <w:szCs w:val="24"/>
          <w:highlight w:val="none"/>
        </w:rPr>
        <w:t>报告期内，产品未发生重大关联交易。</w:t>
      </w:r>
      <w:bookmarkStart w:id="3" w:name="_GoBack"/>
      <w:bookmarkEnd w:id="3"/>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color w:val="000000"/>
        </w:rPr>
      </w:pPr>
    </w:p>
    <w:p>
      <w:pPr>
        <w:pStyle w:val="22"/>
      </w:pPr>
      <w:r>
        <w:rPr>
          <w:rFonts w:hint="eastAsia" w:hAnsi="Calibri"/>
          <w:b/>
          <w:color w:val="000000"/>
        </w:rPr>
        <w:t>南银理财有限责任公司</w:t>
      </w:r>
    </w:p>
    <w:p>
      <w:pPr>
        <w:pStyle w:val="22"/>
      </w:pPr>
      <w:r>
        <w:t>2024年9月30日</w:t>
      </w:r>
    </w:p>
    <w:p>
      <w:pPr>
        <w:pStyle w:val="22"/>
        <w:rPr>
          <w:color w:val="000000"/>
        </w:rPr>
      </w:pPr>
    </w:p>
    <w:sectPr>
      <w:footerReference r:id="rId3"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720"/>
  <w:displayHorizontalDrawingGridEvery w:val="1"/>
  <w:displayVerticalDrawingGridEvery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2JiMDQxYjQzM2Y3NDYwMDE1YWU0ODJjZmU2YmYyYTkifQ=="/>
  </w:docVars>
  <w:rsids>
    <w:rsidRoot w:val="00172A27"/>
    <w:rsid w:val="000060E5"/>
    <w:rsid w:val="000234FF"/>
    <w:rsid w:val="00034FF6"/>
    <w:rsid w:val="00044BFF"/>
    <w:rsid w:val="0005474A"/>
    <w:rsid w:val="00061725"/>
    <w:rsid w:val="0006722C"/>
    <w:rsid w:val="00076E58"/>
    <w:rsid w:val="000A3711"/>
    <w:rsid w:val="000D488E"/>
    <w:rsid w:val="000D5066"/>
    <w:rsid w:val="000F6191"/>
    <w:rsid w:val="0012640E"/>
    <w:rsid w:val="00130CE8"/>
    <w:rsid w:val="00152201"/>
    <w:rsid w:val="00161574"/>
    <w:rsid w:val="00172A27"/>
    <w:rsid w:val="00176636"/>
    <w:rsid w:val="00183C84"/>
    <w:rsid w:val="001C05F9"/>
    <w:rsid w:val="001C5395"/>
    <w:rsid w:val="001C5B34"/>
    <w:rsid w:val="00211F26"/>
    <w:rsid w:val="002263FC"/>
    <w:rsid w:val="002A3AE9"/>
    <w:rsid w:val="002C196E"/>
    <w:rsid w:val="002D60EC"/>
    <w:rsid w:val="002D75D0"/>
    <w:rsid w:val="002E795C"/>
    <w:rsid w:val="003028C8"/>
    <w:rsid w:val="00305714"/>
    <w:rsid w:val="00313E71"/>
    <w:rsid w:val="00321CB7"/>
    <w:rsid w:val="003379A9"/>
    <w:rsid w:val="0035059B"/>
    <w:rsid w:val="00350ADF"/>
    <w:rsid w:val="00355623"/>
    <w:rsid w:val="003848B2"/>
    <w:rsid w:val="003A0419"/>
    <w:rsid w:val="003C4D3B"/>
    <w:rsid w:val="003E09EA"/>
    <w:rsid w:val="003F0AC3"/>
    <w:rsid w:val="0042349E"/>
    <w:rsid w:val="00456251"/>
    <w:rsid w:val="004C1607"/>
    <w:rsid w:val="004C2FD6"/>
    <w:rsid w:val="004F736E"/>
    <w:rsid w:val="005069D8"/>
    <w:rsid w:val="005074EC"/>
    <w:rsid w:val="0056162E"/>
    <w:rsid w:val="00563B93"/>
    <w:rsid w:val="00567DB3"/>
    <w:rsid w:val="00591AD7"/>
    <w:rsid w:val="005A7582"/>
    <w:rsid w:val="005B3434"/>
    <w:rsid w:val="005E2884"/>
    <w:rsid w:val="005E5050"/>
    <w:rsid w:val="005F2C7B"/>
    <w:rsid w:val="005F4D04"/>
    <w:rsid w:val="005F7DA9"/>
    <w:rsid w:val="006054F8"/>
    <w:rsid w:val="006477FD"/>
    <w:rsid w:val="0065419A"/>
    <w:rsid w:val="00654220"/>
    <w:rsid w:val="00663B94"/>
    <w:rsid w:val="00677F66"/>
    <w:rsid w:val="006804BE"/>
    <w:rsid w:val="006C35D0"/>
    <w:rsid w:val="006C7F31"/>
    <w:rsid w:val="006D4F5B"/>
    <w:rsid w:val="006E4E94"/>
    <w:rsid w:val="006E6F13"/>
    <w:rsid w:val="00713F8B"/>
    <w:rsid w:val="00723C78"/>
    <w:rsid w:val="00725EC0"/>
    <w:rsid w:val="00730BEE"/>
    <w:rsid w:val="0073101E"/>
    <w:rsid w:val="00735153"/>
    <w:rsid w:val="00745421"/>
    <w:rsid w:val="0075518B"/>
    <w:rsid w:val="007974A9"/>
    <w:rsid w:val="007A4219"/>
    <w:rsid w:val="007E68C3"/>
    <w:rsid w:val="0080200C"/>
    <w:rsid w:val="00814110"/>
    <w:rsid w:val="0082561A"/>
    <w:rsid w:val="00846B2E"/>
    <w:rsid w:val="00851B76"/>
    <w:rsid w:val="00853290"/>
    <w:rsid w:val="0085663C"/>
    <w:rsid w:val="008768AB"/>
    <w:rsid w:val="008926F7"/>
    <w:rsid w:val="008A68F4"/>
    <w:rsid w:val="008A7510"/>
    <w:rsid w:val="008B6279"/>
    <w:rsid w:val="008C78BD"/>
    <w:rsid w:val="008F0FA3"/>
    <w:rsid w:val="00900D90"/>
    <w:rsid w:val="00913767"/>
    <w:rsid w:val="009354D6"/>
    <w:rsid w:val="00944DDD"/>
    <w:rsid w:val="0095641C"/>
    <w:rsid w:val="00970A98"/>
    <w:rsid w:val="00983CB5"/>
    <w:rsid w:val="00992132"/>
    <w:rsid w:val="009B7BD2"/>
    <w:rsid w:val="009C781F"/>
    <w:rsid w:val="009D5296"/>
    <w:rsid w:val="009E6170"/>
    <w:rsid w:val="009E7856"/>
    <w:rsid w:val="00A167EC"/>
    <w:rsid w:val="00A37451"/>
    <w:rsid w:val="00A4484F"/>
    <w:rsid w:val="00A46A58"/>
    <w:rsid w:val="00A76D4B"/>
    <w:rsid w:val="00A77C47"/>
    <w:rsid w:val="00A9119C"/>
    <w:rsid w:val="00AA1EF3"/>
    <w:rsid w:val="00AA4549"/>
    <w:rsid w:val="00AC5144"/>
    <w:rsid w:val="00AD6FEE"/>
    <w:rsid w:val="00AE17F3"/>
    <w:rsid w:val="00B13014"/>
    <w:rsid w:val="00B17559"/>
    <w:rsid w:val="00B33B19"/>
    <w:rsid w:val="00B404E6"/>
    <w:rsid w:val="00B4360D"/>
    <w:rsid w:val="00B61EA9"/>
    <w:rsid w:val="00B670D1"/>
    <w:rsid w:val="00B74DCA"/>
    <w:rsid w:val="00BC02E0"/>
    <w:rsid w:val="00BC3903"/>
    <w:rsid w:val="00BE47E0"/>
    <w:rsid w:val="00BF75C8"/>
    <w:rsid w:val="00C1762E"/>
    <w:rsid w:val="00C25123"/>
    <w:rsid w:val="00C30A48"/>
    <w:rsid w:val="00C375A7"/>
    <w:rsid w:val="00C62DF8"/>
    <w:rsid w:val="00C640FB"/>
    <w:rsid w:val="00CA7F5F"/>
    <w:rsid w:val="00CB054E"/>
    <w:rsid w:val="00CC52D7"/>
    <w:rsid w:val="00D00B0F"/>
    <w:rsid w:val="00D23AB6"/>
    <w:rsid w:val="00D40A12"/>
    <w:rsid w:val="00D432A4"/>
    <w:rsid w:val="00D50309"/>
    <w:rsid w:val="00D51AA9"/>
    <w:rsid w:val="00D7264A"/>
    <w:rsid w:val="00D84E43"/>
    <w:rsid w:val="00D870DF"/>
    <w:rsid w:val="00DA3265"/>
    <w:rsid w:val="00DA7D48"/>
    <w:rsid w:val="00DB0C2F"/>
    <w:rsid w:val="00DB3BF6"/>
    <w:rsid w:val="00DC31CC"/>
    <w:rsid w:val="00DC728A"/>
    <w:rsid w:val="00DD2F3C"/>
    <w:rsid w:val="00DE13EA"/>
    <w:rsid w:val="00E1059D"/>
    <w:rsid w:val="00E155DF"/>
    <w:rsid w:val="00E246E1"/>
    <w:rsid w:val="00E43B5D"/>
    <w:rsid w:val="00E55AAE"/>
    <w:rsid w:val="00E560F1"/>
    <w:rsid w:val="00E944FA"/>
    <w:rsid w:val="00E9797A"/>
    <w:rsid w:val="00EA7ABC"/>
    <w:rsid w:val="00EE0436"/>
    <w:rsid w:val="00F0006D"/>
    <w:rsid w:val="00F1465C"/>
    <w:rsid w:val="00F41324"/>
    <w:rsid w:val="00F57C12"/>
    <w:rsid w:val="00F609FD"/>
    <w:rsid w:val="00F859AB"/>
    <w:rsid w:val="00F950D0"/>
    <w:rsid w:val="00FA2C26"/>
    <w:rsid w:val="00FB2043"/>
    <w:rsid w:val="00FD5CF7"/>
    <w:rsid w:val="00FF7BB2"/>
    <w:rsid w:val="030F2BA7"/>
    <w:rsid w:val="04240CEE"/>
    <w:rsid w:val="065551D3"/>
    <w:rsid w:val="06C37561"/>
    <w:rsid w:val="09B53F45"/>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31125662"/>
    <w:rsid w:val="32955A2A"/>
    <w:rsid w:val="350229F7"/>
    <w:rsid w:val="36341C31"/>
    <w:rsid w:val="368076E6"/>
    <w:rsid w:val="36921B01"/>
    <w:rsid w:val="378F5AE0"/>
    <w:rsid w:val="37F709A6"/>
    <w:rsid w:val="39E872E9"/>
    <w:rsid w:val="39FF2E40"/>
    <w:rsid w:val="3ABE1FB8"/>
    <w:rsid w:val="3C753CC7"/>
    <w:rsid w:val="3F2C3B54"/>
    <w:rsid w:val="40990310"/>
    <w:rsid w:val="44F30C78"/>
    <w:rsid w:val="459870AF"/>
    <w:rsid w:val="45ED49CE"/>
    <w:rsid w:val="4619164C"/>
    <w:rsid w:val="46F0109E"/>
    <w:rsid w:val="47475A63"/>
    <w:rsid w:val="4AB1434F"/>
    <w:rsid w:val="4BCA232B"/>
    <w:rsid w:val="4D7B3E98"/>
    <w:rsid w:val="4E276A76"/>
    <w:rsid w:val="506954C1"/>
    <w:rsid w:val="509017BA"/>
    <w:rsid w:val="51482FC3"/>
    <w:rsid w:val="52830253"/>
    <w:rsid w:val="541C469D"/>
    <w:rsid w:val="553B3EF1"/>
    <w:rsid w:val="5617604A"/>
    <w:rsid w:val="5AA653E5"/>
    <w:rsid w:val="5BE61B5E"/>
    <w:rsid w:val="5CA05A23"/>
    <w:rsid w:val="5EC71EB3"/>
    <w:rsid w:val="602D020F"/>
    <w:rsid w:val="60EA4BD2"/>
    <w:rsid w:val="62BD595C"/>
    <w:rsid w:val="66F47EBC"/>
    <w:rsid w:val="681903E9"/>
    <w:rsid w:val="68823415"/>
    <w:rsid w:val="6898111C"/>
    <w:rsid w:val="68A21F24"/>
    <w:rsid w:val="6A0A5821"/>
    <w:rsid w:val="6A485270"/>
    <w:rsid w:val="6A970E7E"/>
    <w:rsid w:val="6AF75E34"/>
    <w:rsid w:val="6D05415D"/>
    <w:rsid w:val="6F66394D"/>
    <w:rsid w:val="73193673"/>
    <w:rsid w:val="742938C1"/>
    <w:rsid w:val="74543F24"/>
    <w:rsid w:val="74BE328D"/>
    <w:rsid w:val="77B45190"/>
    <w:rsid w:val="7E7247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unhideWhenUsed/>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6"/>
    <w:unhideWhenUsed/>
    <w:qFormat/>
    <w:uiPriority w:val="99"/>
    <w:rPr>
      <w:b/>
      <w:bCs/>
    </w:rPr>
  </w:style>
  <w:style w:type="paragraph" w:styleId="3">
    <w:name w:val="annotation text"/>
    <w:basedOn w:val="1"/>
    <w:link w:val="18"/>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unhideWhenUsed/>
    <w:qFormat/>
    <w:uiPriority w:val="99"/>
    <w:pPr>
      <w:snapToGrid w:val="0"/>
      <w:jc w:val="left"/>
    </w:pPr>
    <w:rPr>
      <w:sz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10">
    <w:name w:val="page number"/>
    <w:basedOn w:val="9"/>
    <w:unhideWhenUsed/>
    <w:qFormat/>
    <w:uiPriority w:val="99"/>
  </w:style>
  <w:style w:type="character" w:styleId="11">
    <w:name w:val="annotation reference"/>
    <w:unhideWhenUsed/>
    <w:qFormat/>
    <w:uiPriority w:val="99"/>
    <w:rPr>
      <w:sz w:val="21"/>
      <w:szCs w:val="21"/>
    </w:rPr>
  </w:style>
  <w:style w:type="character" w:styleId="12">
    <w:name w:val="footnote reference"/>
    <w:unhideWhenUsed/>
    <w:qFormat/>
    <w:uiPriority w:val="99"/>
    <w:rPr>
      <w:vertAlign w:val="superscript"/>
    </w:rPr>
  </w:style>
  <w:style w:type="character" w:customStyle="1" w:styleId="14">
    <w:name w:val="批注框文本 Char"/>
    <w:link w:val="4"/>
    <w:semiHidden/>
    <w:qFormat/>
    <w:uiPriority w:val="99"/>
    <w:rPr>
      <w:kern w:val="2"/>
      <w:sz w:val="18"/>
      <w:szCs w:val="18"/>
    </w:rPr>
  </w:style>
  <w:style w:type="character" w:customStyle="1" w:styleId="15">
    <w:name w:val="页眉 Char"/>
    <w:link w:val="6"/>
    <w:semiHidden/>
    <w:qFormat/>
    <w:locked/>
    <w:uiPriority w:val="99"/>
    <w:rPr>
      <w:rFonts w:hint="default" w:ascii="Times New Roman" w:hAnsi="Times New Roman" w:cs="Times New Roman"/>
      <w:sz w:val="18"/>
      <w:szCs w:val="18"/>
    </w:rPr>
  </w:style>
  <w:style w:type="character" w:customStyle="1" w:styleId="16">
    <w:name w:val="批注主题 Char"/>
    <w:link w:val="2"/>
    <w:semiHidden/>
    <w:qFormat/>
    <w:uiPriority w:val="99"/>
    <w:rPr>
      <w:b/>
      <w:bCs/>
      <w:kern w:val="2"/>
      <w:sz w:val="21"/>
      <w:szCs w:val="22"/>
    </w:rPr>
  </w:style>
  <w:style w:type="character" w:customStyle="1" w:styleId="17">
    <w:name w:val="页脚 Char"/>
    <w:link w:val="5"/>
    <w:semiHidden/>
    <w:qFormat/>
    <w:locked/>
    <w:uiPriority w:val="99"/>
    <w:rPr>
      <w:rFonts w:hint="default" w:ascii="Times New Roman" w:hAnsi="Times New Roman" w:cs="Times New Roman"/>
      <w:sz w:val="18"/>
      <w:szCs w:val="18"/>
    </w:rPr>
  </w:style>
  <w:style w:type="character" w:customStyle="1" w:styleId="18">
    <w:name w:val="批注文字 Char"/>
    <w:link w:val="3"/>
    <w:qFormat/>
    <w:uiPriority w:val="99"/>
    <w:rPr>
      <w:kern w:val="2"/>
      <w:sz w:val="21"/>
      <w:szCs w:val="22"/>
    </w:rPr>
  </w:style>
  <w:style w:type="paragraph" w:customStyle="1" w:styleId="19">
    <w:name w:val="zhongyaotishi"/>
    <w:basedOn w:val="1"/>
    <w:qFormat/>
    <w:uiPriority w:val="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20">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21">
    <w:name w:val="biaoge_right1"/>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22">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23">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24">
    <w:name w:val="msonormalfy"/>
    <w:qFormat/>
    <w:uiPriority w:val="0"/>
    <w:pPr>
      <w:widowControl w:val="0"/>
      <w:jc w:val="center"/>
    </w:pPr>
    <w:rPr>
      <w:rFonts w:ascii="Times New Roman" w:hAnsi="Times New Roman" w:eastAsia="宋体" w:cs="Times New Roman"/>
      <w:kern w:val="2"/>
      <w:sz w:val="33"/>
      <w:szCs w:val="22"/>
      <w:lang w:val="en-US" w:eastAsia="zh-CN" w:bidi="ar-SA"/>
    </w:rPr>
  </w:style>
  <w:style w:type="paragraph" w:customStyle="1" w:styleId="25">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26">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27">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28">
    <w:name w:val="hide"/>
    <w:basedOn w:val="1"/>
    <w:qFormat/>
    <w:uiPriority w:val="0"/>
    <w:pPr>
      <w:widowControl/>
      <w:spacing w:before="100" w:beforeAutospacing="1" w:after="100" w:afterAutospacing="1"/>
      <w:jc w:val="left"/>
    </w:pPr>
    <w:rPr>
      <w:rFonts w:ascii="宋体" w:hAnsi="宋体" w:cs="宋体"/>
      <w:vanish/>
      <w:kern w:val="0"/>
      <w:sz w:val="24"/>
      <w:szCs w:val="24"/>
    </w:rPr>
  </w:style>
  <w:style w:type="paragraph" w:customStyle="1" w:styleId="29">
    <w:name w:val="show"/>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0">
    <w:name w:val="msonormal_none"/>
    <w:qFormat/>
    <w:uiPriority w:val="0"/>
    <w:pPr>
      <w:widowControl w:val="0"/>
    </w:pPr>
    <w:rPr>
      <w:rFonts w:ascii="Times New Roman" w:hAnsi="Times New Roman" w:eastAsia="宋体" w:cs="Times New Roman"/>
      <w:kern w:val="2"/>
      <w:sz w:val="21"/>
      <w:szCs w:val="22"/>
      <w:lang w:val="en-US" w:eastAsia="zh-CN" w:bidi="ar-SA"/>
    </w:rPr>
  </w:style>
  <w:style w:type="paragraph" w:customStyle="1" w:styleId="31">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32">
    <w:name w:val="dqbgbnwz"/>
    <w:basedOn w:val="1"/>
    <w:qFormat/>
    <w:uiPriority w:val="0"/>
    <w:pPr>
      <w:widowControl/>
      <w:spacing w:line="288" w:lineRule="auto"/>
      <w:jc w:val="center"/>
    </w:pPr>
    <w:rPr>
      <w:rFonts w:eastAsia="黑体" w:cs="宋体"/>
      <w:kern w:val="0"/>
      <w:sz w:val="2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3456</Words>
  <Characters>4979</Characters>
  <Lines>40</Lines>
  <Paragraphs>11</Paragraphs>
  <ScaleCrop>false</ScaleCrop>
  <LinksUpToDate>false</LinksUpToDate>
  <CharactersWithSpaces>5097</CharactersWithSpaces>
  <Application>WPS Office_10.8.0.6157_F1E327BC-269C-435d-A152-05C5408002CA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2020-12-16T03:30:00Z</dcterms:created>
  <dc:creator>总行金融市场部本币投资交易部梅浩超</dc:creator>
  <cp:lastModifiedBy>陈相莉</cp:lastModifiedBy>
  <cp:lastPrinted>2019-09-11T00:56:00Z</cp:lastPrinted>
  <dcterms:modified xsi:type="dcterms:W3CDTF">2024-09-29T07:02:08Z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28F49F91FB644FF584EE71C892C36DA8_12</vt:lpwstr>
  </property>
</Properties>
</file>