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rPr>
          <w:b/>
          <w:bCs/>
          <w:color w:val="000000"/>
        </w:rPr>
      </w:pPr>
    </w:p>
    <w:p>
      <w:pPr>
        <w:pStyle w:val="26"/>
        <w:rPr>
          <w:b/>
          <w:bCs/>
          <w:color w:val="000000"/>
        </w:rPr>
      </w:pPr>
    </w:p>
    <w:p>
      <w:pPr>
        <w:pStyle w:val="26"/>
        <w:rPr>
          <w:b/>
          <w:bCs/>
          <w:color w:val="000000"/>
        </w:rPr>
      </w:pPr>
    </w:p>
    <w:p>
      <w:pPr>
        <w:pStyle w:val="26"/>
        <w:spacing w:before="240" w:after="120"/>
        <w:rPr>
          <w:rFonts w:ascii="黑体" w:eastAsia="黑体"/>
          <w:b/>
          <w:bCs/>
          <w:color w:val="000000"/>
          <w:sz w:val="36"/>
        </w:rPr>
      </w:pPr>
      <w:r>
        <w:rPr>
          <w:rFonts w:hint="eastAsia" w:ascii="黑体" w:hAnsi="黑体" w:eastAsia="黑体"/>
          <w:b/>
          <w:bCs/>
          <w:sz w:val="36"/>
        </w:rPr>
        <w:t>南银理财珠联璧合鑫悦享1908三个月定开公募人民币理财产品</w:t>
      </w:r>
    </w:p>
    <w:p>
      <w:pPr>
        <w:pStyle w:val="26"/>
        <w:spacing w:before="240" w:after="120"/>
        <w:rPr>
          <w:rFonts w:ascii="黑体" w:hAnsi="黑体" w:eastAsia="黑体"/>
          <w:b/>
          <w:bCs/>
          <w:color w:val="000000"/>
          <w:sz w:val="36"/>
        </w:rPr>
      </w:pPr>
      <w:r>
        <w:rPr>
          <w:rFonts w:hint="eastAsia" w:ascii="黑体" w:eastAsia="黑体"/>
          <w:b/>
          <w:bCs/>
          <w:color w:val="000000"/>
          <w:sz w:val="36"/>
        </w:rPr>
        <w:t>2020</w:t>
      </w:r>
      <w:r>
        <w:rPr>
          <w:rFonts w:ascii="黑体" w:hAnsi="黑体" w:eastAsia="黑体"/>
          <w:b/>
          <w:bCs/>
          <w:color w:val="000000"/>
          <w:sz w:val="36"/>
        </w:rPr>
        <w:t>年</w:t>
      </w:r>
      <w:r>
        <w:rPr>
          <w:rFonts w:hint="eastAsia" w:ascii="黑体" w:hAnsi="Calibri" w:eastAsia="黑体"/>
          <w:b/>
          <w:color w:val="000000"/>
          <w:sz w:val="36"/>
        </w:rPr>
        <w:t>年度</w:t>
      </w:r>
      <w:r>
        <w:rPr>
          <w:rFonts w:ascii="黑体" w:hAnsi="黑体" w:eastAsia="黑体"/>
          <w:b/>
          <w:bCs/>
          <w:color w:val="000000"/>
          <w:sz w:val="36"/>
        </w:rPr>
        <w:t>报告</w:t>
      </w: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ind w:left="0"/>
        <w:jc w:val="both"/>
        <w:rPr>
          <w:rFonts w:ascii="黑体" w:hAnsi="黑体" w:eastAsia="黑体"/>
          <w:b/>
          <w:bCs/>
          <w:color w:val="000000"/>
          <w:sz w:val="36"/>
        </w:rPr>
      </w:pPr>
    </w:p>
    <w:p>
      <w:pPr>
        <w:pStyle w:val="26"/>
        <w:spacing w:before="240" w:after="120"/>
        <w:ind w:firstLine="2640" w:firstLineChars="1100"/>
        <w:jc w:val="both"/>
        <w:rPr>
          <w:color w:val="000000"/>
        </w:rPr>
      </w:pPr>
      <w:r>
        <w:rPr>
          <w:rFonts w:hint="eastAsia"/>
          <w:color w:val="000000"/>
        </w:rPr>
        <w:t>产品</w:t>
      </w:r>
      <w:r>
        <w:rPr>
          <w:color w:val="000000"/>
        </w:rPr>
        <w:t>管理人:</w:t>
      </w:r>
      <w:r>
        <w:rPr>
          <w:rFonts w:hint="eastAsia"/>
          <w:kern w:val="2"/>
        </w:rPr>
        <w:t>南银理财有限责任公司</w:t>
      </w:r>
    </w:p>
    <w:p>
      <w:pPr>
        <w:pStyle w:val="26"/>
        <w:spacing w:before="240" w:after="120"/>
        <w:ind w:firstLine="2640" w:firstLineChars="1100"/>
        <w:jc w:val="both"/>
        <w:rPr>
          <w:color w:val="000000"/>
        </w:rPr>
      </w:pPr>
      <w:r>
        <w:rPr>
          <w:rFonts w:hint="eastAsia"/>
          <w:color w:val="000000"/>
        </w:rPr>
        <w:t>产品</w:t>
      </w:r>
      <w:r>
        <w:rPr>
          <w:color w:val="000000"/>
        </w:rPr>
        <w:t>托管人:</w:t>
      </w:r>
      <w:r>
        <w:t>南京银行股份有限公司</w:t>
      </w:r>
    </w:p>
    <w:p>
      <w:pPr>
        <w:widowControl/>
        <w:jc w:val="left"/>
        <w:rPr>
          <w:b/>
          <w:bCs/>
          <w:color w:val="000000"/>
        </w:rPr>
      </w:pPr>
      <w:r>
        <w:rPr>
          <w:rFonts w:hint="eastAsia"/>
          <w:b/>
          <w:bCs/>
          <w:color w:val="000000"/>
        </w:rPr>
        <w:br w:type="page"/>
      </w: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§1 产品概况</w:t>
      </w:r>
    </w:p>
    <w:p>
      <w:pPr>
        <w:widowControl/>
        <w:jc w:val="left"/>
        <w:rPr>
          <w:rFonts w:ascii="宋体" w:hAnsi="宋体" w:cs="宋体"/>
          <w:color w:val="000000"/>
          <w:kern w:val="0"/>
          <w:sz w:val="24"/>
          <w:szCs w:val="24"/>
        </w:rPr>
      </w:pPr>
    </w:p>
    <w:tbl>
      <w:tblPr>
        <w:tblStyle w:val="13"/>
        <w:tblW w:w="9198" w:type="dxa"/>
        <w:tblInd w:w="108" w:type="dxa"/>
        <w:tblLayout w:type="fixed"/>
        <w:tblCellMar>
          <w:top w:w="0" w:type="dxa"/>
          <w:left w:w="108" w:type="dxa"/>
          <w:bottom w:w="0" w:type="dxa"/>
          <w:right w:w="108" w:type="dxa"/>
        </w:tblCellMar>
      </w:tblPr>
      <w:tblGrid>
        <w:gridCol w:w="2811"/>
        <w:gridCol w:w="6387"/>
      </w:tblGrid>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产品全称</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南银理财珠联璧合鑫悦享1908三个月定开公募人民币理财产品</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产品登记编码</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pPr>
            <w:r>
              <w:rPr>
                <w:rFonts w:hint="eastAsia"/>
              </w:rPr>
              <w:t>Z7003220000007（投资者可依据该编码在中国理财网www.chinawealth.com.cn查询理财产品相关信息）</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产品运作方式</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开放式净值型</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产品成立日</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t>2019年08月22日</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报告期末产品份额总额</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highlight w:val="yellow"/>
              </w:rPr>
            </w:pPr>
            <w:r>
              <w:t>7,097,202,774.91份</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报告期末产品杠杆水平</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109.76%</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合作机构</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产品管理人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南银理财有限责任公司</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产品托管人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南京银行股份有限公司</w:t>
            </w:r>
          </w:p>
        </w:tc>
      </w:tr>
    </w:tbl>
    <w:p>
      <w:pPr>
        <w:widowControl/>
        <w:jc w:val="left"/>
        <w:rPr>
          <w:rFonts w:ascii="宋体" w:hAnsi="宋体" w:cs="宋体"/>
          <w:color w:val="000000"/>
          <w:kern w:val="0"/>
          <w:sz w:val="24"/>
          <w:szCs w:val="24"/>
        </w:rPr>
      </w:pPr>
    </w:p>
    <w:p>
      <w:pPr>
        <w:pStyle w:val="26"/>
        <w:rPr>
          <w:rFonts w:hAnsi="Calibri"/>
          <w:b/>
          <w:color w:val="000000"/>
        </w:rPr>
      </w:pPr>
    </w:p>
    <w:p>
      <w:pPr>
        <w:pStyle w:val="26"/>
        <w:rPr>
          <w:color w:val="000000"/>
        </w:rPr>
      </w:pPr>
      <w:r>
        <w:rPr>
          <w:rFonts w:hint="eastAsia" w:hAnsi="Calibri"/>
          <w:b/>
          <w:color w:val="000000"/>
        </w:rPr>
        <w:t>§2  主要财务指标</w:t>
      </w:r>
    </w:p>
    <w:p>
      <w:pPr>
        <w:widowControl/>
        <w:jc w:val="left"/>
        <w:rPr>
          <w:rFonts w:ascii="宋体" w:hAnsi="宋体" w:cs="宋体"/>
          <w:color w:val="000000"/>
          <w:kern w:val="0"/>
          <w:sz w:val="24"/>
          <w:szCs w:val="24"/>
        </w:rPr>
      </w:pPr>
    </w:p>
    <w:p>
      <w:pPr>
        <w:pStyle w:val="20"/>
        <w:rPr>
          <w:color w:val="000000"/>
        </w:rPr>
      </w:pPr>
      <w:r>
        <w:rPr>
          <w:rFonts w:hint="eastAsia"/>
          <w:b/>
          <w:bCs/>
          <w:color w:val="000000"/>
        </w:rPr>
        <w:t>2.1 主要财务指标</w:t>
      </w:r>
    </w:p>
    <w:p>
      <w:pPr>
        <w:widowControl/>
        <w:autoSpaceDE w:val="0"/>
        <w:autoSpaceDN w:val="0"/>
        <w:adjustRightInd w:val="0"/>
        <w:spacing w:line="288" w:lineRule="auto"/>
        <w:jc w:val="right"/>
        <w:rPr>
          <w:rFonts w:ascii="宋体" w:hAnsi="宋体" w:cs="宋体"/>
          <w:color w:val="000000"/>
          <w:kern w:val="0"/>
          <w:sz w:val="24"/>
          <w:szCs w:val="24"/>
        </w:rPr>
      </w:pPr>
      <w:r>
        <w:rPr>
          <w:rFonts w:hint="eastAsia" w:ascii="宋体" w:cs="宋体"/>
          <w:color w:val="000000"/>
          <w:kern w:val="0"/>
          <w:sz w:val="24"/>
          <w:szCs w:val="24"/>
        </w:rPr>
        <w:t>单位：人民币元</w:t>
      </w:r>
    </w:p>
    <w:tbl>
      <w:tblPr>
        <w:tblStyle w:val="13"/>
        <w:tblW w:w="9045" w:type="dxa"/>
        <w:tblInd w:w="108" w:type="dxa"/>
        <w:tblLayout w:type="fixed"/>
        <w:tblCellMar>
          <w:top w:w="0" w:type="dxa"/>
          <w:left w:w="108" w:type="dxa"/>
          <w:bottom w:w="0" w:type="dxa"/>
          <w:right w:w="108" w:type="dxa"/>
        </w:tblCellMar>
      </w:tblPr>
      <w:tblGrid>
        <w:gridCol w:w="5220"/>
        <w:gridCol w:w="3825"/>
      </w:tblGrid>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jc w:val="center"/>
              <w:rPr>
                <w:color w:val="000000"/>
              </w:rPr>
            </w:pPr>
            <w:r>
              <w:rPr>
                <w:b/>
              </w:rPr>
              <w:t>主要财务指标</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6"/>
              <w:spacing w:before="240" w:after="120"/>
              <w:rPr>
                <w:color w:val="000000"/>
              </w:rPr>
            </w:pPr>
            <w:r>
              <w:t>报告期（2020年</w:t>
            </w:r>
            <w:r>
              <w:rPr>
                <w:rFonts w:hint="eastAsia"/>
              </w:rPr>
              <w:t>01</w:t>
            </w:r>
            <w:r>
              <w:t>月01日 - 2020年12月31日）</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1</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highlight w:val="yellow"/>
              </w:rPr>
            </w:pPr>
            <w:r>
              <w:rPr>
                <w:rFonts w:hint="eastAsia" w:hAnsi="Calibri"/>
                <w:color w:val="000000"/>
              </w:rPr>
              <w:t>7,128,582,192.98</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2</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highlight w:val="yellow"/>
              </w:rPr>
            </w:pPr>
            <w:r>
              <w:rPr>
                <w:rFonts w:hint="eastAsia" w:hAnsi="Calibri"/>
                <w:color w:val="000000"/>
              </w:rPr>
              <w:t>1.0044</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3</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highlight w:val="yellow"/>
              </w:rPr>
            </w:pPr>
            <w:r>
              <w:rPr>
                <w:color w:val="000000"/>
              </w:rPr>
              <w:t>1.0610</w:t>
            </w:r>
          </w:p>
        </w:tc>
      </w:tr>
      <w:tr>
        <w:tblPrEx>
          <w:tblLayout w:type="fixed"/>
          <w:tblCellMar>
            <w:top w:w="0" w:type="dxa"/>
            <w:left w:w="108" w:type="dxa"/>
            <w:bottom w:w="0" w:type="dxa"/>
            <w:right w:w="108" w:type="dxa"/>
          </w:tblCellMar>
        </w:tblPrEx>
        <w:tc>
          <w:tcPr>
            <w:tcW w:w="5220" w:type="dxa"/>
            <w:vAlign w:val="center"/>
          </w:tcPr>
          <w:p>
            <w:pPr>
              <w:widowControl/>
              <w:jc w:val="left"/>
              <w:rPr>
                <w:rFonts w:ascii="宋体" w:hAnsi="宋体" w:cs="宋体"/>
                <w:color w:val="000000"/>
                <w:kern w:val="0"/>
                <w:sz w:val="24"/>
                <w:szCs w:val="24"/>
              </w:rPr>
            </w:pPr>
          </w:p>
        </w:tc>
        <w:tc>
          <w:tcPr>
            <w:tcW w:w="3825" w:type="dxa"/>
            <w:vAlign w:val="center"/>
          </w:tcPr>
          <w:p>
            <w:pPr>
              <w:widowControl/>
              <w:jc w:val="left"/>
              <w:rPr>
                <w:color w:val="000000"/>
                <w:kern w:val="0"/>
                <w:sz w:val="20"/>
                <w:szCs w:val="20"/>
              </w:rPr>
            </w:pPr>
          </w:p>
        </w:tc>
      </w:tr>
    </w:tbl>
    <w:p>
      <w:pPr>
        <w:pStyle w:val="25"/>
        <w:ind w:left="0"/>
        <w:rPr>
          <w:color w:val="000000"/>
        </w:rPr>
      </w:pP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§3  管理人报告</w:t>
      </w:r>
    </w:p>
    <w:p>
      <w:pPr>
        <w:pStyle w:val="8"/>
        <w:rPr>
          <w:b/>
          <w:color w:val="000000"/>
        </w:rPr>
      </w:pPr>
      <w:r>
        <w:rPr>
          <w:rFonts w:hint="eastAsia"/>
          <w:b/>
          <w:color w:val="000000"/>
        </w:rPr>
        <w:t>3.1 报告期内产品的投资策略和运作分析</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2020年宏观经济受新冠疫情冲击影响贯穿全年，全球金融市场经历大幅波动。受新冠肺炎疫情的冲击，我国一季度经济明显收缩，投资、消费、出口均出呈现了萎缩态势，一季度经济增速同比下滑6.8%。二季度以来，全国疫情防控和复工复产取得明显成效，在宏观政策不断加大力度的背景下，国内经济呈全面复苏态势，并在世界主要经济体中率先实现正增长。据初步核算，2020年国内生产总值101.6万亿元，同比增长2.3%，增速较上年下滑3.8%；全国规模以上工业增加值累计同比增长2.8%，增速较上年下滑2.9%。全国固定资产投资累计同比增长2.9%，增速较上年下滑2.5%；社会消费品零售总额391,981亿元，比上年下降3.9%。在外需恢复与供给替代驱动下，2020年我国对外贸易实现正增长，同比增长1.9%，其中出口增长4.0%，进口下降0.7%。</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债券市场收益率先下后上，全年波动较大。年初受突发疫情冲击、全球央行货币政策全面放松、央行加大逆周期调节力度等因素影响，市场收益率大幅下行。5月起，我国疫情防控逐步常态化，基本面预期企稳，市场风险偏好回升，同时央行货币政策边际收紧，叠加利率债供给放量等因素共振，推升市场益率走高。进入11月，国企债券违约等信用风险事件导致债券市场出现普遍性调整，信用利差持续走阔。但12月中央关于政策“不急转弯”的基调，明显提振市场情绪，加之央行连续超预期续作MLF，市场流动性充裕，信用事件冲击逐渐缓和，债市走强。整体来看，全年10年期国债收益率3.14%，较上年末无变化；10年期国开债收益率下行4bp至3.53%。</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鑫悦享系列产品围绕稳健回报的收益目标进行操作，在流动性安全和资金成本可控的条件下适当增加产品杠杆，增厚产品收益；同时把握市场走势，在利率下行阶段实现资本利得收益。基于对后市的判断，产品将合理调节组合的久期与风险结构，在严控风险的基础上，精选绝对收益尚可的信用债增厚底仓收益，辅以杠杆套息策略增强收益。目前中长端利率品种相对价值较弱，产品短期将维持偏防御的久期风险敞口，在未来市场震荡调整中把握可能的波段交易机会。</w:t>
      </w:r>
    </w:p>
    <w:p>
      <w:pPr>
        <w:pStyle w:val="8"/>
        <w:rPr>
          <w:b/>
          <w:color w:val="000000"/>
        </w:rPr>
      </w:pPr>
      <w:r>
        <w:rPr>
          <w:rFonts w:hint="eastAsia"/>
          <w:b/>
          <w:color w:val="000000"/>
        </w:rPr>
        <w:t>3.2 报告期内产品的流动性风险分析</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2020年资金面整体宽松，本系列产品保障流动性安全，提前做好跨年资金储备，平稳度过年各关键时点。短期央行高频投放资金表达呵护市场的态度，春节前流动性预计较宽松。中期需关注资金面边际收紧的风险，本产品将结合产品中资产情况，设置合理的杠杆水平，适度拉长融资期限，控制流动性风险。</w:t>
      </w:r>
    </w:p>
    <w:p>
      <w:pPr>
        <w:pStyle w:val="8"/>
        <w:rPr>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pPr>
        <w:pStyle w:val="8"/>
        <w:shd w:val="clear"/>
        <w:rPr>
          <w:b/>
          <w:color w:val="000000"/>
          <w:highlight w:val="none"/>
        </w:rPr>
      </w:pPr>
      <w:r>
        <w:rPr>
          <w:rFonts w:hint="eastAsia"/>
          <w:b/>
          <w:color w:val="000000"/>
          <w:highlight w:val="none"/>
        </w:rPr>
        <w:t>3.3.1 报告期内产品净值情况</w:t>
      </w:r>
    </w:p>
    <w:p>
      <w:pPr>
        <w:widowControl/>
        <w:shd w:val="clear"/>
        <w:autoSpaceDE w:val="0"/>
        <w:autoSpaceDN w:val="0"/>
        <w:adjustRightInd w:val="0"/>
        <w:spacing w:line="288" w:lineRule="auto"/>
        <w:jc w:val="righ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金额单位：人民币元</w:t>
      </w:r>
    </w:p>
    <w:tbl>
      <w:tblPr>
        <w:tblStyle w:val="13"/>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419"/>
        <w:gridCol w:w="1589"/>
        <w:gridCol w:w="2067"/>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restart"/>
            <w:shd w:val="clear" w:color="auto" w:fill="auto"/>
            <w:vAlign w:val="center"/>
          </w:tcPr>
          <w:p>
            <w:pPr>
              <w:shd w:val="clea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5075" w:type="dxa"/>
            <w:gridSpan w:val="3"/>
            <w:shd w:val="clear" w:color="auto" w:fill="auto"/>
            <w:vAlign w:val="center"/>
          </w:tcPr>
          <w:p>
            <w:pPr>
              <w:shd w:val="clea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sz w:val="22"/>
                <w:szCs w:val="20"/>
                <w:highlight w:val="none"/>
              </w:rPr>
              <w:t>时点指标：报告期末</w:t>
            </w:r>
          </w:p>
        </w:tc>
        <w:tc>
          <w:tcPr>
            <w:tcW w:w="2155" w:type="dxa"/>
            <w:shd w:val="clear" w:color="auto" w:fill="auto"/>
            <w:vAlign w:val="center"/>
          </w:tcPr>
          <w:p>
            <w:pPr>
              <w:shd w:val="clea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区间指标：报告期间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continue"/>
            <w:shd w:val="clear" w:color="auto" w:fill="auto"/>
            <w:vAlign w:val="center"/>
          </w:tcPr>
          <w:p>
            <w:pPr>
              <w:pStyle w:val="32"/>
              <w:shd w:val="clear"/>
              <w:rPr>
                <w:rFonts w:hint="eastAsia" w:ascii="宋体" w:hAnsi="宋体" w:eastAsia="宋体" w:cs="宋体"/>
                <w:b/>
                <w:color w:val="000000"/>
                <w:kern w:val="2"/>
                <w:highlight w:val="none"/>
              </w:rPr>
            </w:pPr>
          </w:p>
        </w:tc>
        <w:tc>
          <w:tcPr>
            <w:tcW w:w="1419" w:type="dxa"/>
            <w:shd w:val="clear" w:color="auto" w:fill="auto"/>
            <w:vAlign w:val="center"/>
          </w:tcPr>
          <w:p>
            <w:pPr>
              <w:pStyle w:val="32"/>
              <w:shd w:val="clear"/>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份额净值</w:t>
            </w:r>
          </w:p>
        </w:tc>
        <w:tc>
          <w:tcPr>
            <w:tcW w:w="1589" w:type="dxa"/>
            <w:shd w:val="clear" w:color="auto" w:fill="auto"/>
            <w:vAlign w:val="center"/>
          </w:tcPr>
          <w:p>
            <w:pPr>
              <w:pStyle w:val="32"/>
              <w:shd w:val="clear"/>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份额累计净值</w:t>
            </w:r>
          </w:p>
        </w:tc>
        <w:tc>
          <w:tcPr>
            <w:tcW w:w="2067" w:type="dxa"/>
            <w:shd w:val="clear" w:color="auto" w:fill="auto"/>
            <w:vAlign w:val="center"/>
          </w:tcPr>
          <w:p>
            <w:pPr>
              <w:pStyle w:val="32"/>
              <w:shd w:val="clear"/>
              <w:rPr>
                <w:rFonts w:hint="eastAsia" w:ascii="宋体" w:hAnsi="宋体" w:eastAsia="宋体" w:cs="宋体"/>
                <w:color w:val="000000"/>
                <w:kern w:val="2"/>
                <w:highlight w:val="none"/>
              </w:rPr>
            </w:pPr>
            <w:r>
              <w:rPr>
                <w:rFonts w:hint="eastAsia" w:ascii="宋体" w:hAnsi="宋体" w:eastAsia="宋体" w:cs="宋体"/>
                <w:color w:val="000000"/>
                <w:kern w:val="2"/>
                <w:highlight w:val="none"/>
              </w:rPr>
              <w:t>资产净值</w:t>
            </w:r>
          </w:p>
        </w:tc>
        <w:tc>
          <w:tcPr>
            <w:tcW w:w="2155" w:type="dxa"/>
            <w:shd w:val="clear" w:color="auto" w:fill="auto"/>
            <w:vAlign w:val="center"/>
          </w:tcPr>
          <w:p>
            <w:pPr>
              <w:pStyle w:val="32"/>
              <w:shd w:val="clear"/>
              <w:rPr>
                <w:rFonts w:hint="eastAsia" w:ascii="宋体" w:hAnsi="宋体" w:eastAsia="宋体" w:cs="宋体"/>
                <w:color w:val="000000"/>
                <w:kern w:val="2"/>
                <w:highlight w:val="none"/>
              </w:rPr>
            </w:pPr>
            <w:r>
              <w:rPr>
                <w:rFonts w:hint="eastAsia" w:ascii="宋体" w:hAnsi="宋体" w:eastAsia="宋体" w:cs="宋体"/>
                <w:color w:val="000000"/>
                <w:kern w:val="2"/>
                <w:highlight w:val="none"/>
              </w:rPr>
              <w:t>净值增长率/净值收益率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shd w:val="clear" w:color="auto" w:fill="auto"/>
            <w:vAlign w:val="center"/>
          </w:tcPr>
          <w:p>
            <w:pPr>
              <w:pStyle w:val="32"/>
              <w:shd w:val="clear"/>
              <w:rPr>
                <w:rFonts w:hint="default" w:ascii="宋体" w:hAnsi="宋体" w:eastAsia="宋体" w:cs="宋体"/>
                <w:b/>
                <w:color w:val="000000"/>
                <w:kern w:val="2"/>
                <w:highlight w:val="none"/>
                <w:lang w:val="en-US" w:eastAsia="zh-CN"/>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40001</w:t>
            </w:r>
          </w:p>
        </w:tc>
        <w:tc>
          <w:tcPr>
            <w:tcW w:w="1419" w:type="dxa"/>
            <w:shd w:val="clear" w:color="auto" w:fill="auto"/>
            <w:vAlign w:val="center"/>
          </w:tcPr>
          <w:p>
            <w:pPr>
              <w:pStyle w:val="32"/>
              <w:shd w:val="clear"/>
              <w:rPr>
                <w:rFonts w:hint="default" w:ascii="宋体" w:hAnsi="宋体" w:eastAsia="宋体" w:cs="宋体"/>
                <w:color w:val="000000"/>
                <w:kern w:val="2"/>
                <w:highlight w:val="none"/>
                <w:lang w:val="en-US" w:eastAsia="zh-CN"/>
              </w:rPr>
            </w:pPr>
            <w:r>
              <w:rPr>
                <w:rFonts w:hint="eastAsia" w:ascii="宋体" w:hAnsi="宋体" w:eastAsia="宋体" w:cs="宋体"/>
                <w:color w:val="000000"/>
                <w:highlight w:val="none"/>
              </w:rPr>
              <w:t>1.0</w:t>
            </w:r>
            <w:r>
              <w:rPr>
                <w:rFonts w:hint="eastAsia" w:ascii="宋体" w:hAnsi="宋体" w:eastAsia="宋体" w:cs="宋体"/>
                <w:color w:val="000000"/>
                <w:highlight w:val="none"/>
                <w:lang w:val="en-US" w:eastAsia="zh-CN"/>
              </w:rPr>
              <w:t>044</w:t>
            </w:r>
          </w:p>
        </w:tc>
        <w:tc>
          <w:tcPr>
            <w:tcW w:w="1589" w:type="dxa"/>
            <w:shd w:val="clear" w:color="auto" w:fill="auto"/>
            <w:vAlign w:val="center"/>
          </w:tcPr>
          <w:p>
            <w:pPr>
              <w:pStyle w:val="32"/>
              <w:shd w:val="clear"/>
              <w:rPr>
                <w:rFonts w:hint="default" w:ascii="宋体" w:hAnsi="宋体" w:eastAsia="宋体" w:cs="宋体"/>
                <w:color w:val="000000"/>
                <w:kern w:val="2"/>
                <w:highlight w:val="none"/>
                <w:lang w:val="en-US" w:eastAsia="zh-CN"/>
              </w:rPr>
            </w:pPr>
            <w:r>
              <w:rPr>
                <w:rFonts w:hint="eastAsia" w:ascii="宋体" w:hAnsi="宋体" w:eastAsia="宋体" w:cs="宋体"/>
                <w:color w:val="000000"/>
                <w:highlight w:val="none"/>
              </w:rPr>
              <w:t>1.0</w:t>
            </w:r>
            <w:r>
              <w:rPr>
                <w:rFonts w:hint="eastAsia" w:ascii="宋体" w:hAnsi="宋体" w:eastAsia="宋体" w:cs="宋体"/>
                <w:color w:val="000000"/>
                <w:highlight w:val="none"/>
                <w:lang w:val="en-US" w:eastAsia="zh-CN"/>
              </w:rPr>
              <w:t>610</w:t>
            </w:r>
          </w:p>
        </w:tc>
        <w:tc>
          <w:tcPr>
            <w:tcW w:w="2067" w:type="dxa"/>
            <w:shd w:val="clear" w:color="auto" w:fill="auto"/>
            <w:vAlign w:val="center"/>
          </w:tcPr>
          <w:p>
            <w:pPr>
              <w:keepNext w:val="0"/>
              <w:keepLines w:val="0"/>
              <w:widowControl/>
              <w:suppressLineNumbers w:val="0"/>
              <w:shd w:val="clear"/>
              <w:jc w:val="right"/>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2"/>
                <w:szCs w:val="22"/>
                <w:highlight w:val="none"/>
                <w:u w:val="none"/>
                <w:lang w:val="en-US" w:eastAsia="zh-CN" w:bidi="ar"/>
              </w:rPr>
              <w:t>7,128,582,192.98</w:t>
            </w:r>
          </w:p>
        </w:tc>
        <w:tc>
          <w:tcPr>
            <w:tcW w:w="2155" w:type="dxa"/>
            <w:shd w:val="clear" w:color="auto" w:fill="auto"/>
            <w:vAlign w:val="center"/>
          </w:tcPr>
          <w:p>
            <w:pPr>
              <w:pStyle w:val="32"/>
              <w:shd w:val="clear"/>
              <w:rPr>
                <w:rFonts w:hint="eastAsia" w:ascii="宋体" w:hAnsi="宋体" w:eastAsia="宋体" w:cs="宋体"/>
                <w:color w:val="000000"/>
                <w:kern w:val="2"/>
                <w:highlight w:val="none"/>
              </w:rPr>
            </w:pPr>
            <w:r>
              <w:rPr>
                <w:rFonts w:hint="eastAsia" w:ascii="宋体" w:hAnsi="宋体" w:eastAsia="宋体" w:cs="宋体"/>
                <w:color w:val="000000"/>
                <w:kern w:val="2"/>
                <w:highlight w:val="none"/>
                <w:lang w:val="en-US" w:eastAsia="zh-CN"/>
              </w:rPr>
              <w:t>4.38</w:t>
            </w:r>
            <w:r>
              <w:rPr>
                <w:rFonts w:hint="eastAsia" w:ascii="宋体" w:hAnsi="宋体" w:eastAsia="宋体" w:cs="宋体"/>
                <w:color w:val="000000"/>
                <w:kern w:val="2"/>
                <w:highlight w:val="none"/>
              </w:rPr>
              <w:t>%</w:t>
            </w:r>
          </w:p>
        </w:tc>
      </w:tr>
    </w:tbl>
    <w:p>
      <w:pPr>
        <w:pStyle w:val="8"/>
        <w:shd w:val="clear"/>
        <w:rPr>
          <w:rFonts w:hint="eastAsia" w:ascii="宋体" w:hAnsi="宋体" w:eastAsia="宋体" w:cs="宋体"/>
          <w:b/>
          <w:color w:val="000000"/>
          <w:highlight w:val="none"/>
        </w:rPr>
      </w:pPr>
      <w:r>
        <w:rPr>
          <w:rFonts w:hint="eastAsia" w:ascii="宋体" w:hAnsi="宋体" w:eastAsia="宋体" w:cs="宋体"/>
          <w:b/>
          <w:color w:val="000000"/>
          <w:highlight w:val="none"/>
        </w:rPr>
        <w:t>3.3.2 报告期内产品收益分配情况</w:t>
      </w:r>
    </w:p>
    <w:p>
      <w:pPr>
        <w:pStyle w:val="32"/>
        <w:shd w:val="clear"/>
        <w:jc w:val="right"/>
        <w:rPr>
          <w:rFonts w:hint="eastAsia" w:ascii="宋体" w:hAnsi="宋体" w:eastAsia="宋体" w:cs="宋体"/>
          <w:color w:val="000000"/>
          <w:kern w:val="2"/>
          <w:highlight w:val="none"/>
        </w:rPr>
      </w:pPr>
      <w:r>
        <w:rPr>
          <w:rFonts w:hint="eastAsia" w:ascii="宋体" w:hAnsi="宋体" w:eastAsia="宋体" w:cs="宋体"/>
          <w:color w:val="000000"/>
          <w:kern w:val="2"/>
          <w:highlight w:val="none"/>
        </w:rPr>
        <w:t>金额单位：</w:t>
      </w:r>
      <w:r>
        <w:rPr>
          <w:rFonts w:hint="eastAsia" w:ascii="宋体" w:hAnsi="宋体" w:eastAsia="宋体" w:cs="宋体"/>
          <w:color w:val="000000"/>
          <w:sz w:val="24"/>
          <w:highlight w:val="none"/>
        </w:rPr>
        <w:t>人民币元</w:t>
      </w:r>
    </w:p>
    <w:tbl>
      <w:tblPr>
        <w:tblStyle w:val="13"/>
        <w:tblW w:w="83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7"/>
        <w:gridCol w:w="1397"/>
        <w:gridCol w:w="1397"/>
        <w:gridCol w:w="1397"/>
        <w:gridCol w:w="1397"/>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1397" w:type="dxa"/>
            <w:shd w:val="clear" w:color="auto" w:fill="auto"/>
            <w:vAlign w:val="center"/>
          </w:tcPr>
          <w:p>
            <w:pPr>
              <w:shd w:val="clea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收益分配</w:t>
            </w:r>
          </w:p>
          <w:p>
            <w:pPr>
              <w:shd w:val="clea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基准日</w:t>
            </w:r>
          </w:p>
        </w:tc>
        <w:tc>
          <w:tcPr>
            <w:tcW w:w="1397" w:type="dxa"/>
            <w:shd w:val="clear" w:color="auto" w:fill="auto"/>
            <w:vAlign w:val="center"/>
          </w:tcPr>
          <w:p>
            <w:pPr>
              <w:shd w:val="clea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权益</w:t>
            </w:r>
          </w:p>
          <w:p>
            <w:pPr>
              <w:shd w:val="clea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登记日</w:t>
            </w:r>
          </w:p>
        </w:tc>
        <w:tc>
          <w:tcPr>
            <w:tcW w:w="1397" w:type="dxa"/>
            <w:shd w:val="clear" w:color="auto" w:fill="auto"/>
            <w:vAlign w:val="center"/>
          </w:tcPr>
          <w:p>
            <w:pPr>
              <w:shd w:val="clea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除息日</w:t>
            </w:r>
          </w:p>
        </w:tc>
        <w:tc>
          <w:tcPr>
            <w:tcW w:w="1397" w:type="dxa"/>
            <w:shd w:val="clear" w:color="auto" w:fill="auto"/>
            <w:vAlign w:val="center"/>
          </w:tcPr>
          <w:p>
            <w:pPr>
              <w:shd w:val="clea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红利</w:t>
            </w:r>
          </w:p>
          <w:p>
            <w:pPr>
              <w:shd w:val="clea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发放日</w:t>
            </w:r>
          </w:p>
        </w:tc>
        <w:tc>
          <w:tcPr>
            <w:tcW w:w="1398" w:type="dxa"/>
            <w:shd w:val="clear" w:color="auto" w:fill="auto"/>
            <w:vAlign w:val="center"/>
          </w:tcPr>
          <w:p>
            <w:pPr>
              <w:shd w:val="clea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每10份额现金分红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40001</w:t>
            </w:r>
          </w:p>
        </w:tc>
        <w:tc>
          <w:tcPr>
            <w:tcW w:w="1397" w:type="dxa"/>
            <w:shd w:val="clear" w:color="auto" w:fill="auto"/>
            <w:vAlign w:val="center"/>
          </w:tcPr>
          <w:p>
            <w:pPr>
              <w:keepNext w:val="0"/>
              <w:keepLines w:val="0"/>
              <w:widowControl/>
              <w:suppressLineNumbers w:val="0"/>
              <w:shd w:val="clear"/>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2020/2/25</w:t>
            </w:r>
          </w:p>
        </w:tc>
        <w:tc>
          <w:tcPr>
            <w:tcW w:w="1397" w:type="dxa"/>
            <w:shd w:val="clear" w:color="auto" w:fill="auto"/>
            <w:vAlign w:val="center"/>
          </w:tcPr>
          <w:p>
            <w:pPr>
              <w:keepNext w:val="0"/>
              <w:keepLines w:val="0"/>
              <w:widowControl/>
              <w:suppressLineNumbers w:val="0"/>
              <w:shd w:val="clear"/>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2020/2/25</w:t>
            </w:r>
          </w:p>
        </w:tc>
        <w:tc>
          <w:tcPr>
            <w:tcW w:w="1397" w:type="dxa"/>
            <w:shd w:val="clear" w:color="auto" w:fill="auto"/>
            <w:vAlign w:val="center"/>
          </w:tcPr>
          <w:p>
            <w:pPr>
              <w:keepNext w:val="0"/>
              <w:keepLines w:val="0"/>
              <w:widowControl/>
              <w:suppressLineNumbers w:val="0"/>
              <w:shd w:val="clear"/>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2020/2/25</w:t>
            </w:r>
          </w:p>
        </w:tc>
        <w:tc>
          <w:tcPr>
            <w:tcW w:w="1397" w:type="dxa"/>
            <w:shd w:val="clear" w:color="auto" w:fill="auto"/>
            <w:vAlign w:val="center"/>
          </w:tcPr>
          <w:p>
            <w:pPr>
              <w:keepNext w:val="0"/>
              <w:keepLines w:val="0"/>
              <w:widowControl/>
              <w:suppressLineNumbers w:val="0"/>
              <w:shd w:val="clear"/>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2020/2/26</w:t>
            </w:r>
          </w:p>
        </w:tc>
        <w:tc>
          <w:tcPr>
            <w:tcW w:w="1398" w:type="dxa"/>
            <w:shd w:val="clear" w:color="auto" w:fill="auto"/>
            <w:vAlign w:val="center"/>
          </w:tcPr>
          <w:p>
            <w:pPr>
              <w:keepNext w:val="0"/>
              <w:keepLines w:val="0"/>
              <w:widowControl/>
              <w:suppressLineNumbers w:val="0"/>
              <w:shd w:val="clear"/>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0.1230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40001</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2020/5/26</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2020/5/26</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2020/5/26</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2020/5/27</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0.1140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40001</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2020/8/26</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2020/8/26</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2020/8/26</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2020/8/27</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0.1070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40001</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2020/11/25</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2020/11/25</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2020/11/25</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2020/11/26</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0.1050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hd w:val="clear"/>
              <w:jc w:val="center"/>
              <w:rPr>
                <w:rFonts w:hint="default" w:ascii="宋体" w:hAnsi="宋体" w:eastAsia="宋体"/>
                <w:b/>
                <w:color w:val="000000"/>
                <w:kern w:val="2"/>
                <w:highlight w:val="none"/>
                <w:lang w:val="en-US"/>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400</w:t>
            </w:r>
            <w:r>
              <w:rPr>
                <w:rFonts w:hint="eastAsia" w:ascii="宋体" w:hAnsi="宋体" w:cs="宋体"/>
                <w:color w:val="000000"/>
                <w:kern w:val="2"/>
                <w:highlight w:val="none"/>
                <w:lang w:val="en-US" w:eastAsia="zh-CN"/>
              </w:rPr>
              <w:t>12</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2020/11/25</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2020/11/25</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2020/11/25</w:t>
            </w:r>
          </w:p>
        </w:tc>
        <w:tc>
          <w:tcPr>
            <w:tcW w:w="1397"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2020/11/26</w:t>
            </w:r>
          </w:p>
        </w:tc>
        <w:tc>
          <w:tcPr>
            <w:tcW w:w="1398" w:type="dxa"/>
            <w:shd w:val="clear" w:color="auto" w:fill="auto"/>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0.0930</w:t>
            </w:r>
          </w:p>
        </w:tc>
      </w:tr>
    </w:tbl>
    <w:p>
      <w:pPr>
        <w:widowControl/>
        <w:jc w:val="left"/>
        <w:rPr>
          <w:rFonts w:ascii="宋体" w:hAnsi="宋体" w:cs="宋体"/>
          <w:color w:val="000000"/>
          <w:kern w:val="0"/>
          <w:sz w:val="24"/>
          <w:szCs w:val="24"/>
        </w:rPr>
      </w:pPr>
    </w:p>
    <w:p>
      <w:pPr>
        <w:pStyle w:val="26"/>
        <w:rPr>
          <w:rFonts w:hAnsi="Calibri"/>
          <w:b/>
          <w:color w:val="000000"/>
        </w:rPr>
      </w:pPr>
      <w:r>
        <w:rPr>
          <w:rFonts w:hint="eastAsia" w:hAnsi="Calibri"/>
          <w:b/>
          <w:color w:val="000000"/>
        </w:rPr>
        <w:t>§4  托管人报告</w:t>
      </w:r>
    </w:p>
    <w:p>
      <w:pPr>
        <w:pStyle w:val="26"/>
        <w:rPr>
          <w:rFonts w:hAnsi="Calibri"/>
          <w:b/>
          <w:color w:val="000000"/>
        </w:rPr>
      </w:pPr>
    </w:p>
    <w:p>
      <w:pPr>
        <w:pStyle w:val="8"/>
        <w:rPr>
          <w:b/>
          <w:color w:val="000000"/>
        </w:rPr>
      </w:pPr>
      <w:r>
        <w:rPr>
          <w:rFonts w:hint="eastAsia"/>
          <w:b/>
          <w:color w:val="000000"/>
        </w:rPr>
        <w:t>4.1报告期内托管人遵规守信情况声明</w:t>
      </w:r>
    </w:p>
    <w:p>
      <w:pPr>
        <w:pStyle w:val="25"/>
        <w:spacing w:line="360" w:lineRule="auto"/>
        <w:ind w:firstLine="480" w:firstLineChars="200"/>
        <w:rPr>
          <w:rFonts w:cs="Times New Roman"/>
          <w:b/>
          <w:color w:val="000000"/>
        </w:rPr>
      </w:pPr>
      <w:bookmarkStart w:id="0" w:name="_Hlk65766326"/>
      <w:r>
        <w:t>在托管本产品的过程中，本产品托管人南京银行股份有限公司严格遵守《商业银行理财业务监督管理办法》相关法律法规的规定以及产品说明书的约定，对本产品管理人—</w:t>
      </w:r>
      <w:r>
        <w:rPr>
          <w:rFonts w:hint="eastAsia"/>
        </w:rPr>
        <w:t>南银理财有限责任公司</w:t>
      </w:r>
      <w:r>
        <w:t>2020年01月01日至2020年12月31日产品的投资运作，进行了认真、独立的会计核算和必要的投资监督，认真履行了托管人的义务，没有从事任何损害产品份额持有人利益的行为。</w:t>
      </w:r>
      <w:bookmarkEnd w:id="0"/>
    </w:p>
    <w:p>
      <w:pPr>
        <w:pStyle w:val="25"/>
        <w:spacing w:line="360" w:lineRule="auto"/>
        <w:rPr>
          <w:rFonts w:cs="Times New Roman"/>
          <w:b/>
          <w:color w:val="000000"/>
        </w:rPr>
      </w:pPr>
      <w:r>
        <w:rPr>
          <w:rFonts w:hint="eastAsia" w:cs="Times New Roman"/>
          <w:b/>
          <w:color w:val="000000"/>
        </w:rPr>
        <w:t>4.2 托管人对报告期内投资运作遵规守信、净值计算、利润分配等情况的说明</w:t>
      </w:r>
    </w:p>
    <w:p>
      <w:pPr>
        <w:pStyle w:val="25"/>
        <w:spacing w:line="360" w:lineRule="auto"/>
        <w:ind w:firstLine="480"/>
        <w:rPr>
          <w:color w:val="000000"/>
        </w:rPr>
      </w:pPr>
      <w:bookmarkStart w:id="1" w:name="_Hlk65769865"/>
      <w:r>
        <w:t>本托管人认为</w:t>
      </w:r>
      <w:r>
        <w:rPr>
          <w:rFonts w:hint="eastAsia"/>
        </w:rPr>
        <w:t>，</w:t>
      </w:r>
      <w:r>
        <w:t>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bookmarkEnd w:id="1"/>
    </w:p>
    <w:p>
      <w:pPr>
        <w:pStyle w:val="25"/>
        <w:spacing w:line="360" w:lineRule="auto"/>
        <w:rPr>
          <w:rFonts w:cs="Times New Roman"/>
          <w:b/>
          <w:color w:val="000000"/>
        </w:rPr>
      </w:pPr>
      <w:r>
        <w:rPr>
          <w:rFonts w:hint="eastAsia" w:cs="Times New Roman"/>
          <w:b/>
          <w:color w:val="000000"/>
        </w:rPr>
        <w:t>4.3 托管人对本年度报告中财务信息等内容的真实、准确和完整发表意见</w:t>
      </w:r>
    </w:p>
    <w:p>
      <w:pPr>
        <w:pStyle w:val="25"/>
        <w:spacing w:line="360" w:lineRule="auto"/>
        <w:ind w:firstLine="480"/>
        <w:rPr>
          <w:color w:val="000000"/>
        </w:rPr>
      </w:pPr>
      <w:bookmarkStart w:id="2" w:name="_Hlk65769872"/>
      <w: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2"/>
    </w:p>
    <w:p>
      <w:pPr>
        <w:pStyle w:val="25"/>
        <w:spacing w:line="360" w:lineRule="auto"/>
        <w:ind w:firstLine="480"/>
        <w:rPr>
          <w:color w:val="000000"/>
        </w:rPr>
      </w:pPr>
    </w:p>
    <w:p>
      <w:pPr>
        <w:pStyle w:val="26"/>
        <w:rPr>
          <w:color w:val="000000"/>
        </w:rPr>
      </w:pPr>
      <w:r>
        <w:rPr>
          <w:rFonts w:hint="eastAsia" w:hAnsi="Calibri"/>
          <w:b/>
          <w:color w:val="000000"/>
        </w:rPr>
        <w:t>§</w:t>
      </w:r>
      <w:r>
        <w:rPr>
          <w:rFonts w:hint="eastAsia" w:hAnsi="Calibri"/>
          <w:b/>
          <w:color w:val="000000"/>
          <w:lang w:val="en-US" w:eastAsia="zh-CN"/>
        </w:rPr>
        <w:t>5</w:t>
      </w:r>
      <w:r>
        <w:rPr>
          <w:rFonts w:hint="eastAsia" w:hAnsi="Calibri"/>
          <w:b/>
          <w:color w:val="000000"/>
        </w:rPr>
        <w:t xml:space="preserve">  投资组合报告</w:t>
      </w:r>
    </w:p>
    <w:p>
      <w:pPr>
        <w:widowControl/>
        <w:jc w:val="left"/>
        <w:rPr>
          <w:rFonts w:ascii="宋体" w:hAnsi="宋体" w:cs="宋体"/>
          <w:color w:val="000000"/>
          <w:kern w:val="0"/>
          <w:sz w:val="24"/>
          <w:szCs w:val="24"/>
        </w:rPr>
      </w:pPr>
    </w:p>
    <w:p>
      <w:pPr>
        <w:pStyle w:val="20"/>
        <w:ind w:left="0"/>
      </w:pPr>
      <w:r>
        <w:rPr>
          <w:rFonts w:hint="eastAsia"/>
          <w:b/>
          <w:bCs/>
          <w:color w:val="000000"/>
          <w:lang w:val="en-US" w:eastAsia="zh-CN"/>
        </w:rPr>
        <w:t>5</w:t>
      </w:r>
      <w:r>
        <w:rPr>
          <w:rFonts w:hint="eastAsia"/>
          <w:b/>
          <w:bCs/>
          <w:color w:val="000000"/>
        </w:rPr>
        <w:t xml:space="preserve">.1 </w:t>
      </w:r>
      <w:r>
        <w:rPr>
          <w:rFonts w:hint="eastAsia"/>
          <w:b/>
          <w:bCs/>
        </w:rPr>
        <w:t>报告期末产品资产组合情况</w:t>
      </w:r>
    </w:p>
    <w:p>
      <w:pPr>
        <w:pStyle w:val="20"/>
        <w:ind w:left="0"/>
      </w:pPr>
    </w:p>
    <w:tbl>
      <w:tblPr>
        <w:tblStyle w:val="13"/>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r>
    </w:tbl>
    <w:p>
      <w:pPr>
        <w:widowControl/>
        <w:jc w:val="left"/>
        <w:rPr>
          <w:rFonts w:ascii="宋体" w:hAnsi="宋体" w:cs="宋体"/>
          <w:color w:val="000000"/>
          <w:kern w:val="0"/>
          <w:sz w:val="24"/>
          <w:szCs w:val="24"/>
        </w:rPr>
      </w:pPr>
    </w:p>
    <w:p>
      <w:pPr>
        <w:pStyle w:val="20"/>
        <w:rPr>
          <w:b/>
          <w:bCs/>
          <w:color w:val="000000"/>
        </w:rPr>
      </w:pPr>
      <w:r>
        <w:rPr>
          <w:rFonts w:hint="eastAsia"/>
          <w:b/>
          <w:bCs/>
          <w:color w:val="000000"/>
          <w:lang w:val="en-US" w:eastAsia="zh-CN"/>
        </w:rPr>
        <w:t>5</w:t>
      </w:r>
      <w:r>
        <w:rPr>
          <w:rFonts w:hint="eastAsia"/>
          <w:b/>
          <w:bCs/>
          <w:color w:val="000000"/>
        </w:rPr>
        <w:t>.2 报告期末按公允价值资产净值比例大小排序的前十名资产投资明细</w:t>
      </w:r>
    </w:p>
    <w:tbl>
      <w:tblPr>
        <w:tblStyle w:val="13"/>
        <w:tblW w:w="8800" w:type="dxa"/>
        <w:tblInd w:w="93" w:type="dxa"/>
        <w:tblLayout w:type="fixed"/>
        <w:tblCellMar>
          <w:top w:w="0" w:type="dxa"/>
          <w:left w:w="108" w:type="dxa"/>
          <w:bottom w:w="0" w:type="dxa"/>
          <w:right w:w="108" w:type="dxa"/>
        </w:tblCellMar>
      </w:tblPr>
      <w:tblGrid>
        <w:gridCol w:w="582"/>
        <w:gridCol w:w="1728"/>
        <w:gridCol w:w="2690"/>
        <w:gridCol w:w="2035"/>
        <w:gridCol w:w="1765"/>
      </w:tblGrid>
      <w:tr>
        <w:tblPrEx>
          <w:tblLayout w:type="fixed"/>
          <w:tblCellMar>
            <w:top w:w="0" w:type="dxa"/>
            <w:left w:w="108" w:type="dxa"/>
            <w:bottom w:w="0" w:type="dxa"/>
            <w:right w:w="108" w:type="dxa"/>
          </w:tblCellMar>
        </w:tblPrEx>
        <w:trPr>
          <w:trHeight w:val="870" w:hRule="atLeast"/>
        </w:trPr>
        <w:tc>
          <w:tcPr>
            <w:tcW w:w="582" w:type="dxa"/>
            <w:tcBorders>
              <w:top w:val="single" w:color="000000" w:sz="8" w:space="0"/>
              <w:left w:val="single" w:color="000000" w:sz="8" w:space="0"/>
              <w:bottom w:val="single" w:color="000000" w:sz="8" w:space="0"/>
              <w:right w:val="single" w:color="000000" w:sz="8" w:space="0"/>
            </w:tcBorders>
            <w:vAlign w:val="center"/>
          </w:tcPr>
          <w:p>
            <w:pPr>
              <w:pStyle w:val="23"/>
              <w:rPr>
                <w:color w:val="000000"/>
              </w:rPr>
            </w:pPr>
            <w:r>
              <w:rPr>
                <w:rFonts w:hint="eastAsia"/>
                <w:color w:val="000000"/>
              </w:rPr>
              <w:t>序号</w:t>
            </w:r>
          </w:p>
        </w:tc>
        <w:tc>
          <w:tcPr>
            <w:tcW w:w="1728"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代码</w:t>
            </w:r>
          </w:p>
        </w:tc>
        <w:tc>
          <w:tcPr>
            <w:tcW w:w="2690"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名称</w:t>
            </w:r>
          </w:p>
        </w:tc>
        <w:tc>
          <w:tcPr>
            <w:tcW w:w="203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公允价值(元)</w:t>
            </w:r>
          </w:p>
        </w:tc>
        <w:tc>
          <w:tcPr>
            <w:tcW w:w="176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占产品资产净值比例（％）</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pPr>
            <w:r>
              <w:rPr>
                <w:rFonts w:hint="eastAsia"/>
                <w:color w:val="000000"/>
              </w:rPr>
              <w:t>1</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200302</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20进出02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197,800,605.13</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2.77%</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2</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031758019</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17兰州城投PPN004</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102,338,786.61</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1.44%</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3</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031900017</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19苏科技城PPN001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100,630,819.96</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1.41%</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4</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150839</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18国裕01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100,566,166.54</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1.41%</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5</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031900108</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19嘉兴秀洲PPN002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100,473,492.90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1.41%</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6</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180412</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18农发12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100,250,696.38</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1.41%</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7</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200306</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20进出06</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100,029,168.68</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1.40%</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8</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031900835</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19青山湖PPN001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100,008,015.14</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1.40%</w:t>
            </w:r>
          </w:p>
        </w:tc>
      </w:tr>
      <w:tr>
        <w:tblPrEx>
          <w:tblLayout w:type="fixed"/>
          <w:tblCellMar>
            <w:top w:w="0" w:type="dxa"/>
            <w:left w:w="108" w:type="dxa"/>
            <w:bottom w:w="0" w:type="dxa"/>
            <w:right w:w="108" w:type="dxa"/>
          </w:tblCellMar>
        </w:tblPrEx>
        <w:trPr>
          <w:trHeight w:val="355"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9</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101801346</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18中建四局MTN002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100,006,598.81</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1.40%</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162368</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19诸资01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100,000,796.83</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jc w:val="center"/>
              <w:rPr>
                <w:rFonts w:cs="Arial" w:asciiTheme="minorEastAsia" w:hAnsiTheme="minorEastAsia" w:eastAsiaTheme="minorEastAsia"/>
                <w:color w:val="000000"/>
                <w:sz w:val="24"/>
                <w:szCs w:val="24"/>
              </w:rPr>
            </w:pPr>
            <w:r>
              <w:rPr>
                <w:rFonts w:hint="eastAsia" w:cs="Arial" w:asciiTheme="minorEastAsia" w:hAnsiTheme="minorEastAsia" w:eastAsiaTheme="minorEastAsia"/>
                <w:color w:val="000000"/>
                <w:sz w:val="24"/>
                <w:szCs w:val="24"/>
              </w:rPr>
              <w:t>1.40%</w:t>
            </w:r>
          </w:p>
        </w:tc>
      </w:tr>
    </w:tbl>
    <w:p>
      <w:pPr>
        <w:widowControl/>
        <w:jc w:val="left"/>
        <w:rPr>
          <w:rFonts w:ascii="宋体" w:hAnsi="宋体" w:cs="宋体"/>
          <w:b/>
          <w:sz w:val="24"/>
          <w:szCs w:val="24"/>
          <w:shd w:val="clear" w:color="auto" w:fill="FFFFFF"/>
        </w:rPr>
      </w:pPr>
    </w:p>
    <w:p>
      <w:pPr>
        <w:widowControl/>
        <w:jc w:val="left"/>
        <w:rPr>
          <w:rFonts w:ascii="宋体" w:hAnsi="宋体" w:cs="宋体"/>
          <w:b/>
          <w:sz w:val="24"/>
          <w:szCs w:val="24"/>
          <w:shd w:val="clear" w:color="auto" w:fill="FFFFFF"/>
        </w:rPr>
      </w:pPr>
      <w:r>
        <w:rPr>
          <w:rFonts w:hint="eastAsia" w:ascii="宋体" w:hAnsi="宋体" w:cs="宋体"/>
          <w:b/>
          <w:sz w:val="24"/>
          <w:szCs w:val="24"/>
          <w:shd w:val="clear" w:color="auto" w:fill="FFFFFF"/>
          <w:lang w:val="en-US" w:eastAsia="zh-CN"/>
        </w:rPr>
        <w:t>5</w:t>
      </w:r>
      <w:r>
        <w:rPr>
          <w:rFonts w:hint="eastAsia" w:ascii="宋体" w:hAnsi="宋体" w:cs="宋体"/>
          <w:b/>
          <w:sz w:val="24"/>
          <w:szCs w:val="24"/>
          <w:shd w:val="clear" w:color="auto" w:fill="FFFFFF"/>
        </w:rPr>
        <w:t>.3报告期末非标准化债权类资产明细</w:t>
      </w:r>
    </w:p>
    <w:p>
      <w:pPr>
        <w:widowControl/>
        <w:jc w:val="left"/>
        <w:rPr>
          <w:b/>
          <w:shd w:val="clear" w:color="auto" w:fill="FFFFFF"/>
        </w:rPr>
      </w:pPr>
    </w:p>
    <w:tbl>
      <w:tblPr>
        <w:tblStyle w:val="13"/>
        <w:tblW w:w="8931" w:type="dxa"/>
        <w:tblInd w:w="108" w:type="dxa"/>
        <w:tblLayout w:type="fixed"/>
        <w:tblCellMar>
          <w:top w:w="0" w:type="dxa"/>
          <w:left w:w="108" w:type="dxa"/>
          <w:bottom w:w="0" w:type="dxa"/>
          <w:right w:w="108" w:type="dxa"/>
        </w:tblCellMar>
      </w:tblPr>
      <w:tblGrid>
        <w:gridCol w:w="709"/>
        <w:gridCol w:w="1276"/>
        <w:gridCol w:w="1701"/>
        <w:gridCol w:w="1417"/>
        <w:gridCol w:w="1701"/>
        <w:gridCol w:w="1276"/>
        <w:gridCol w:w="851"/>
      </w:tblGrid>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序号</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融资客户</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项目名称</w:t>
            </w:r>
          </w:p>
        </w:tc>
        <w:tc>
          <w:tcPr>
            <w:tcW w:w="1417"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剩余融资期限</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到期收益分配</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交易结构</w:t>
            </w:r>
          </w:p>
        </w:tc>
        <w:tc>
          <w:tcPr>
            <w:tcW w:w="85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风险状况</w:t>
            </w:r>
          </w:p>
        </w:tc>
      </w:tr>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8" w:space="0"/>
              <w:right w:val="single" w:color="000000" w:sz="8" w:space="0"/>
            </w:tcBorders>
            <w:vAlign w:val="center"/>
          </w:tcPr>
          <w:p>
            <w:pPr>
              <w:pStyle w:val="23"/>
              <w:wordWrap w:val="0"/>
              <w:rPr>
                <w:shd w:val="clear" w:color="auto" w:fill="FFFFFF"/>
              </w:rPr>
            </w:pPr>
            <w:r>
              <w:rPr>
                <w:rFonts w:hint="eastAsia"/>
              </w:rPr>
              <w:t>1</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417"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85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r>
    </w:tbl>
    <w:p>
      <w:pPr>
        <w:widowControl/>
        <w:jc w:val="left"/>
        <w:rPr>
          <w:rFonts w:ascii="宋体" w:hAnsi="宋体" w:cs="宋体"/>
          <w:color w:val="000000"/>
          <w:kern w:val="0"/>
          <w:sz w:val="24"/>
          <w:szCs w:val="24"/>
          <w:highlight w:val="none"/>
        </w:rPr>
      </w:pPr>
    </w:p>
    <w:p>
      <w:pPr>
        <w:pStyle w:val="26"/>
        <w:rPr>
          <w:b/>
          <w:bCs/>
          <w:color w:val="000000"/>
          <w:highlight w:val="none"/>
        </w:rPr>
      </w:pPr>
      <w:r>
        <w:rPr>
          <w:rFonts w:hint="eastAsia"/>
          <w:b/>
          <w:bCs/>
          <w:color w:val="000000"/>
          <w:highlight w:val="none"/>
        </w:rPr>
        <w:t>§</w:t>
      </w:r>
      <w:r>
        <w:rPr>
          <w:rFonts w:hint="eastAsia"/>
          <w:b/>
          <w:bCs/>
          <w:color w:val="000000"/>
          <w:highlight w:val="none"/>
          <w:lang w:val="en-US" w:eastAsia="zh-CN"/>
        </w:rPr>
        <w:t>6</w:t>
      </w:r>
      <w:r>
        <w:rPr>
          <w:rFonts w:hint="eastAsia"/>
          <w:b/>
          <w:bCs/>
          <w:color w:val="000000"/>
          <w:highlight w:val="none"/>
        </w:rPr>
        <w:t xml:space="preserve"> 投资账户信息</w:t>
      </w:r>
    </w:p>
    <w:tbl>
      <w:tblPr>
        <w:tblStyle w:val="13"/>
        <w:tblW w:w="9205" w:type="dxa"/>
        <w:tblInd w:w="95" w:type="dxa"/>
        <w:tblLayout w:type="fixed"/>
        <w:tblCellMar>
          <w:top w:w="0" w:type="dxa"/>
          <w:left w:w="108" w:type="dxa"/>
          <w:bottom w:w="0" w:type="dxa"/>
          <w:right w:w="108" w:type="dxa"/>
        </w:tblCellMar>
      </w:tblPr>
      <w:tblGrid>
        <w:gridCol w:w="711"/>
        <w:gridCol w:w="1277"/>
        <w:gridCol w:w="2348"/>
        <w:gridCol w:w="3591"/>
        <w:gridCol w:w="1278"/>
      </w:tblGrid>
      <w:tr>
        <w:tblPrEx>
          <w:tblLayout w:type="fixed"/>
          <w:tblCellMar>
            <w:top w:w="0" w:type="dxa"/>
            <w:left w:w="108" w:type="dxa"/>
            <w:bottom w:w="0" w:type="dxa"/>
            <w:right w:w="108" w:type="dxa"/>
          </w:tblCellMar>
        </w:tblPrEx>
        <w:trPr>
          <w:trHeight w:val="705" w:hRule="atLeast"/>
        </w:trPr>
        <w:tc>
          <w:tcPr>
            <w:tcW w:w="711" w:type="dxa"/>
            <w:tcBorders>
              <w:top w:val="single" w:color="000000" w:sz="8" w:space="0"/>
              <w:left w:val="single" w:color="000000" w:sz="8" w:space="0"/>
              <w:bottom w:val="single" w:color="000000" w:sz="6" w:space="0"/>
              <w:right w:val="single" w:color="000000" w:sz="8" w:space="0"/>
            </w:tcBorders>
            <w:vAlign w:val="center"/>
          </w:tcPr>
          <w:p>
            <w:pPr>
              <w:pStyle w:val="23"/>
              <w:rPr>
                <w:highlight w:val="none"/>
                <w:shd w:val="clear" w:color="auto" w:fill="FFFFFF"/>
              </w:rPr>
            </w:pPr>
            <w:r>
              <w:rPr>
                <w:rFonts w:hint="eastAsia" w:hAnsi="Calibri"/>
                <w:highlight w:val="none"/>
                <w:shd w:val="clear" w:color="auto" w:fill="FFFFFF"/>
              </w:rPr>
              <w:t>序号</w:t>
            </w:r>
          </w:p>
        </w:tc>
        <w:tc>
          <w:tcPr>
            <w:tcW w:w="1277"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账户类型</w:t>
            </w:r>
          </w:p>
        </w:tc>
        <w:tc>
          <w:tcPr>
            <w:tcW w:w="2348"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账号</w:t>
            </w:r>
          </w:p>
        </w:tc>
        <w:tc>
          <w:tcPr>
            <w:tcW w:w="3591"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账户名称</w:t>
            </w:r>
          </w:p>
        </w:tc>
        <w:tc>
          <w:tcPr>
            <w:tcW w:w="1278"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开户单位</w:t>
            </w:r>
          </w:p>
        </w:tc>
      </w:tr>
      <w:tr>
        <w:tblPrEx>
          <w:tblLayout w:type="fixed"/>
          <w:tblCellMar>
            <w:top w:w="0" w:type="dxa"/>
            <w:left w:w="108" w:type="dxa"/>
            <w:bottom w:w="0" w:type="dxa"/>
            <w:right w:w="108" w:type="dxa"/>
          </w:tblCellMar>
        </w:tblPrEx>
        <w:trPr>
          <w:trHeight w:val="364" w:hRule="atLeast"/>
        </w:trPr>
        <w:tc>
          <w:tcPr>
            <w:tcW w:w="71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1</w:t>
            </w:r>
          </w:p>
        </w:tc>
        <w:tc>
          <w:tcPr>
            <w:tcW w:w="1277" w:type="dxa"/>
            <w:tcBorders>
              <w:top w:val="single" w:color="000000" w:sz="8" w:space="0"/>
              <w:left w:val="single" w:color="000000" w:sz="8" w:space="0"/>
              <w:bottom w:val="single" w:color="000000" w:sz="8" w:space="0"/>
              <w:right w:val="single" w:color="000000" w:sz="8" w:space="0"/>
            </w:tcBorders>
            <w:vAlign w:val="bottom"/>
          </w:tcPr>
          <w:p>
            <w:pPr>
              <w:pStyle w:val="23"/>
              <w:wordWrap w:val="0"/>
              <w:rPr>
                <w:highlight w:val="none"/>
                <w:shd w:val="clear" w:color="auto" w:fill="FFFFFF"/>
              </w:rPr>
            </w:pPr>
            <w:r>
              <w:rPr>
                <w:highlight w:val="none"/>
                <w:shd w:val="clear" w:color="auto" w:fill="FFFFFF"/>
              </w:rPr>
              <w:t>托管账户</w:t>
            </w:r>
          </w:p>
        </w:tc>
        <w:tc>
          <w:tcPr>
            <w:tcW w:w="2348"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0120000000000314</w:t>
            </w:r>
          </w:p>
        </w:tc>
        <w:tc>
          <w:tcPr>
            <w:tcW w:w="359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南京银行鑫悦享1908三个月定开</w:t>
            </w:r>
          </w:p>
        </w:tc>
        <w:tc>
          <w:tcPr>
            <w:tcW w:w="1278"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highlight w:val="none"/>
                <w:shd w:val="clear" w:color="auto" w:fill="FFFFFF"/>
              </w:rPr>
              <w:t>南京银行</w:t>
            </w:r>
          </w:p>
        </w:tc>
      </w:tr>
    </w:tbl>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pStyle w:val="26"/>
        <w:rPr>
          <w:color w:val="000000"/>
          <w:highlight w:val="none"/>
        </w:rPr>
      </w:pPr>
      <w:r>
        <w:rPr>
          <w:rFonts w:hint="eastAsia"/>
          <w:b/>
          <w:bCs/>
          <w:color w:val="000000"/>
          <w:highlight w:val="none"/>
        </w:rPr>
        <w:t>§7 关联交易情况</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报告期内，</w:t>
      </w:r>
      <w:r>
        <w:rPr>
          <w:rFonts w:hint="eastAsia" w:ascii="宋体" w:hAnsi="宋体" w:eastAsia="宋体" w:cs="宋体"/>
          <w:color w:val="000000"/>
          <w:kern w:val="0"/>
          <w:sz w:val="24"/>
          <w:szCs w:val="24"/>
          <w:highlight w:val="none"/>
        </w:rPr>
        <w:t>产品投资于关联方发行的证券0.00元。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产品投资于关联方作为融资人的非标准化债权类资产业务交易金额0.00元。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产品投资于关联方承销的证券交易金额0.00元。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产品与关联方作为交易对手开展的投融资业务交易金额0.00元。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产品投资关联方作为管理人的资产管理产品交易金额0.00元。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产品支付关联方托管费483</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910.61元，支付关联方代销费0.00元。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产品发生其他关联交易金额0.00元。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报告期内，产品未发生重大关联交易。</w:t>
      </w:r>
    </w:p>
    <w:p>
      <w:pPr>
        <w:widowControl/>
        <w:jc w:val="left"/>
        <w:rPr>
          <w:rFonts w:ascii="宋体" w:hAnsi="宋体" w:cs="宋体"/>
          <w:color w:val="000000"/>
          <w:kern w:val="0"/>
          <w:sz w:val="24"/>
          <w:szCs w:val="24"/>
        </w:rPr>
      </w:pPr>
      <w:bookmarkStart w:id="3" w:name="_GoBack"/>
      <w:bookmarkEnd w:id="3"/>
    </w:p>
    <w:p>
      <w:pPr>
        <w:widowControl/>
        <w:jc w:val="left"/>
        <w:rPr>
          <w:color w:val="000000"/>
        </w:rPr>
      </w:pPr>
    </w:p>
    <w:p>
      <w:pPr>
        <w:pStyle w:val="22"/>
      </w:pPr>
      <w:r>
        <w:rPr>
          <w:rFonts w:hint="eastAsia" w:hAnsi="Calibri"/>
          <w:b/>
          <w:color w:val="000000"/>
        </w:rPr>
        <w:t>南银理财有限责任公司</w:t>
      </w:r>
    </w:p>
    <w:p>
      <w:pPr>
        <w:pStyle w:val="22"/>
      </w:pPr>
      <w:r>
        <w:t>2024年9月30日</w:t>
      </w:r>
    </w:p>
    <w:p>
      <w:pPr>
        <w:pStyle w:val="22"/>
        <w:rPr>
          <w:color w:val="000000"/>
        </w:rPr>
      </w:pPr>
    </w:p>
    <w:sectPr>
      <w:footerReference r:id="rId3"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2JiMDQxYjQzM2Y3NDYwMDE1YWU0ODJjZmU2YmYyYTkifQ=="/>
  </w:docVars>
  <w:rsids>
    <w:rsidRoot w:val="00172A27"/>
    <w:rsid w:val="000060E5"/>
    <w:rsid w:val="000234FF"/>
    <w:rsid w:val="00034FF6"/>
    <w:rsid w:val="00044BFF"/>
    <w:rsid w:val="0005474A"/>
    <w:rsid w:val="00061725"/>
    <w:rsid w:val="00076F89"/>
    <w:rsid w:val="00083DCF"/>
    <w:rsid w:val="000A3711"/>
    <w:rsid w:val="000A566E"/>
    <w:rsid w:val="000A585E"/>
    <w:rsid w:val="000B740E"/>
    <w:rsid w:val="000D5066"/>
    <w:rsid w:val="000E3E92"/>
    <w:rsid w:val="000F6191"/>
    <w:rsid w:val="00130CE8"/>
    <w:rsid w:val="00152201"/>
    <w:rsid w:val="00172A27"/>
    <w:rsid w:val="00176636"/>
    <w:rsid w:val="00183C84"/>
    <w:rsid w:val="001C05F9"/>
    <w:rsid w:val="001C5395"/>
    <w:rsid w:val="00211F26"/>
    <w:rsid w:val="002263FC"/>
    <w:rsid w:val="00243FFE"/>
    <w:rsid w:val="002577CD"/>
    <w:rsid w:val="002A3AE9"/>
    <w:rsid w:val="002C196E"/>
    <w:rsid w:val="002D60EC"/>
    <w:rsid w:val="002D75D0"/>
    <w:rsid w:val="002E795C"/>
    <w:rsid w:val="00305714"/>
    <w:rsid w:val="00313E71"/>
    <w:rsid w:val="00321CB7"/>
    <w:rsid w:val="003379A9"/>
    <w:rsid w:val="00350ADF"/>
    <w:rsid w:val="00353BE4"/>
    <w:rsid w:val="00355623"/>
    <w:rsid w:val="003A0419"/>
    <w:rsid w:val="003C4D3B"/>
    <w:rsid w:val="003E09EA"/>
    <w:rsid w:val="003F0AC3"/>
    <w:rsid w:val="00407467"/>
    <w:rsid w:val="00423369"/>
    <w:rsid w:val="00447E79"/>
    <w:rsid w:val="00456251"/>
    <w:rsid w:val="004C1607"/>
    <w:rsid w:val="004D20A6"/>
    <w:rsid w:val="005069D8"/>
    <w:rsid w:val="00544E38"/>
    <w:rsid w:val="00545225"/>
    <w:rsid w:val="0056162E"/>
    <w:rsid w:val="00563B93"/>
    <w:rsid w:val="00567DB3"/>
    <w:rsid w:val="005B3434"/>
    <w:rsid w:val="005D0BB6"/>
    <w:rsid w:val="005E2884"/>
    <w:rsid w:val="005E5050"/>
    <w:rsid w:val="005F2C7B"/>
    <w:rsid w:val="005F4D04"/>
    <w:rsid w:val="005F7DA9"/>
    <w:rsid w:val="006054F8"/>
    <w:rsid w:val="0065419A"/>
    <w:rsid w:val="00654220"/>
    <w:rsid w:val="00663B94"/>
    <w:rsid w:val="00677F66"/>
    <w:rsid w:val="006C7F31"/>
    <w:rsid w:val="006D660B"/>
    <w:rsid w:val="006E4E94"/>
    <w:rsid w:val="00723C78"/>
    <w:rsid w:val="007261EC"/>
    <w:rsid w:val="00730BEE"/>
    <w:rsid w:val="0073101E"/>
    <w:rsid w:val="00735153"/>
    <w:rsid w:val="00737F5A"/>
    <w:rsid w:val="00744793"/>
    <w:rsid w:val="00745421"/>
    <w:rsid w:val="00746C61"/>
    <w:rsid w:val="00753195"/>
    <w:rsid w:val="007A4219"/>
    <w:rsid w:val="007B5D67"/>
    <w:rsid w:val="0080200C"/>
    <w:rsid w:val="00811D8A"/>
    <w:rsid w:val="00814110"/>
    <w:rsid w:val="0082561A"/>
    <w:rsid w:val="00846B2E"/>
    <w:rsid w:val="00853290"/>
    <w:rsid w:val="0085663C"/>
    <w:rsid w:val="008768AB"/>
    <w:rsid w:val="00891C14"/>
    <w:rsid w:val="008926F7"/>
    <w:rsid w:val="008A7510"/>
    <w:rsid w:val="008B16F0"/>
    <w:rsid w:val="008C78BD"/>
    <w:rsid w:val="008F0FA3"/>
    <w:rsid w:val="00900D90"/>
    <w:rsid w:val="009276E6"/>
    <w:rsid w:val="009354D6"/>
    <w:rsid w:val="009643E9"/>
    <w:rsid w:val="00970A98"/>
    <w:rsid w:val="009733E0"/>
    <w:rsid w:val="0099248C"/>
    <w:rsid w:val="009C781F"/>
    <w:rsid w:val="009D5296"/>
    <w:rsid w:val="009E6170"/>
    <w:rsid w:val="00A14D15"/>
    <w:rsid w:val="00A167EC"/>
    <w:rsid w:val="00A30DDF"/>
    <w:rsid w:val="00A37451"/>
    <w:rsid w:val="00A4484F"/>
    <w:rsid w:val="00A76D4B"/>
    <w:rsid w:val="00A77C47"/>
    <w:rsid w:val="00A9119C"/>
    <w:rsid w:val="00AA4549"/>
    <w:rsid w:val="00AC5144"/>
    <w:rsid w:val="00AC5E4E"/>
    <w:rsid w:val="00B13014"/>
    <w:rsid w:val="00B17559"/>
    <w:rsid w:val="00B33B19"/>
    <w:rsid w:val="00B404E6"/>
    <w:rsid w:val="00B4360D"/>
    <w:rsid w:val="00B61EA9"/>
    <w:rsid w:val="00B63929"/>
    <w:rsid w:val="00B670D1"/>
    <w:rsid w:val="00B74DCA"/>
    <w:rsid w:val="00B801E2"/>
    <w:rsid w:val="00BC02E0"/>
    <w:rsid w:val="00BC3903"/>
    <w:rsid w:val="00BE3F7A"/>
    <w:rsid w:val="00BE47E0"/>
    <w:rsid w:val="00BF75C8"/>
    <w:rsid w:val="00C1762E"/>
    <w:rsid w:val="00C25123"/>
    <w:rsid w:val="00C30A48"/>
    <w:rsid w:val="00C375A7"/>
    <w:rsid w:val="00C62DF8"/>
    <w:rsid w:val="00C640FB"/>
    <w:rsid w:val="00C9563F"/>
    <w:rsid w:val="00CB054E"/>
    <w:rsid w:val="00CC52D7"/>
    <w:rsid w:val="00CF3AAD"/>
    <w:rsid w:val="00D22C1C"/>
    <w:rsid w:val="00D23AB6"/>
    <w:rsid w:val="00D434A9"/>
    <w:rsid w:val="00D50309"/>
    <w:rsid w:val="00D51AA9"/>
    <w:rsid w:val="00D7264A"/>
    <w:rsid w:val="00D84E43"/>
    <w:rsid w:val="00D870DF"/>
    <w:rsid w:val="00DB0C2F"/>
    <w:rsid w:val="00DB3BF6"/>
    <w:rsid w:val="00DC31CC"/>
    <w:rsid w:val="00DC728A"/>
    <w:rsid w:val="00DD2F3C"/>
    <w:rsid w:val="00E1059D"/>
    <w:rsid w:val="00E155DF"/>
    <w:rsid w:val="00E246E1"/>
    <w:rsid w:val="00E560F1"/>
    <w:rsid w:val="00E944FA"/>
    <w:rsid w:val="00E95158"/>
    <w:rsid w:val="00E9797A"/>
    <w:rsid w:val="00EA7ABC"/>
    <w:rsid w:val="00EE0436"/>
    <w:rsid w:val="00F1465C"/>
    <w:rsid w:val="00F25731"/>
    <w:rsid w:val="00F41324"/>
    <w:rsid w:val="00F57C12"/>
    <w:rsid w:val="00F609FD"/>
    <w:rsid w:val="00F859AB"/>
    <w:rsid w:val="00F950D0"/>
    <w:rsid w:val="00FA2C26"/>
    <w:rsid w:val="030F2BA7"/>
    <w:rsid w:val="04240CEE"/>
    <w:rsid w:val="065551D3"/>
    <w:rsid w:val="06C37561"/>
    <w:rsid w:val="0A236A5A"/>
    <w:rsid w:val="0BA075C8"/>
    <w:rsid w:val="0CAB045E"/>
    <w:rsid w:val="10C60AB9"/>
    <w:rsid w:val="111D4539"/>
    <w:rsid w:val="13297F9C"/>
    <w:rsid w:val="134727C6"/>
    <w:rsid w:val="141A5102"/>
    <w:rsid w:val="15FE575C"/>
    <w:rsid w:val="177920C8"/>
    <w:rsid w:val="181F107E"/>
    <w:rsid w:val="18EC47C1"/>
    <w:rsid w:val="1AB73E2C"/>
    <w:rsid w:val="1ADC05C7"/>
    <w:rsid w:val="1E911FB2"/>
    <w:rsid w:val="1F274305"/>
    <w:rsid w:val="20F325AF"/>
    <w:rsid w:val="216F6F5C"/>
    <w:rsid w:val="22E23E75"/>
    <w:rsid w:val="24914F4C"/>
    <w:rsid w:val="2555668E"/>
    <w:rsid w:val="25AF3A81"/>
    <w:rsid w:val="25B229C2"/>
    <w:rsid w:val="262B63C4"/>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D700B61"/>
    <w:rsid w:val="3E47544D"/>
    <w:rsid w:val="3F2C3B54"/>
    <w:rsid w:val="40990310"/>
    <w:rsid w:val="43CB11AA"/>
    <w:rsid w:val="44F30C78"/>
    <w:rsid w:val="459870AF"/>
    <w:rsid w:val="45ED49CE"/>
    <w:rsid w:val="46F0109E"/>
    <w:rsid w:val="47475A63"/>
    <w:rsid w:val="4BCA232B"/>
    <w:rsid w:val="4E276A76"/>
    <w:rsid w:val="506954C1"/>
    <w:rsid w:val="509017BA"/>
    <w:rsid w:val="51482FC3"/>
    <w:rsid w:val="52830253"/>
    <w:rsid w:val="541C469D"/>
    <w:rsid w:val="5617604A"/>
    <w:rsid w:val="5BE61B5E"/>
    <w:rsid w:val="5CA05A23"/>
    <w:rsid w:val="5EC71EB3"/>
    <w:rsid w:val="602D020F"/>
    <w:rsid w:val="60EA4BD2"/>
    <w:rsid w:val="6238141E"/>
    <w:rsid w:val="62BD595C"/>
    <w:rsid w:val="66F47EBC"/>
    <w:rsid w:val="681903E9"/>
    <w:rsid w:val="68823415"/>
    <w:rsid w:val="6898111C"/>
    <w:rsid w:val="68A21F24"/>
    <w:rsid w:val="6A485270"/>
    <w:rsid w:val="6A970E7E"/>
    <w:rsid w:val="6D05415D"/>
    <w:rsid w:val="6F66394D"/>
    <w:rsid w:val="6FE213D4"/>
    <w:rsid w:val="71F418F0"/>
    <w:rsid w:val="72916770"/>
    <w:rsid w:val="73193673"/>
    <w:rsid w:val="742938C1"/>
    <w:rsid w:val="74543F24"/>
    <w:rsid w:val="74BE328D"/>
    <w:rsid w:val="77B45190"/>
    <w:rsid w:val="7A000403"/>
    <w:rsid w:val="7E4A0FB9"/>
    <w:rsid w:val="7E7247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unhideWhenUsed/>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8"/>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unhideWhenUsed/>
    <w:qFormat/>
    <w:uiPriority w:val="99"/>
    <w:pPr>
      <w:snapToGrid w:val="0"/>
      <w:jc w:val="left"/>
    </w:pPr>
    <w:rPr>
      <w:sz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10">
    <w:name w:val="page number"/>
    <w:basedOn w:val="9"/>
    <w:unhideWhenUsed/>
    <w:qFormat/>
    <w:uiPriority w:val="99"/>
  </w:style>
  <w:style w:type="character" w:styleId="11">
    <w:name w:val="annotation reference"/>
    <w:unhideWhenUsed/>
    <w:qFormat/>
    <w:uiPriority w:val="99"/>
    <w:rPr>
      <w:sz w:val="21"/>
      <w:szCs w:val="21"/>
    </w:rPr>
  </w:style>
  <w:style w:type="character" w:styleId="12">
    <w:name w:val="footnote reference"/>
    <w:unhideWhenUsed/>
    <w:qFormat/>
    <w:uiPriority w:val="99"/>
    <w:rPr>
      <w:vertAlign w:val="superscript"/>
    </w:rPr>
  </w:style>
  <w:style w:type="character" w:customStyle="1" w:styleId="14">
    <w:name w:val="批注框文本 Char"/>
    <w:link w:val="4"/>
    <w:semiHidden/>
    <w:qFormat/>
    <w:uiPriority w:val="99"/>
    <w:rPr>
      <w:kern w:val="2"/>
      <w:sz w:val="18"/>
      <w:szCs w:val="18"/>
    </w:rPr>
  </w:style>
  <w:style w:type="character" w:customStyle="1" w:styleId="15">
    <w:name w:val="页眉 Char"/>
    <w:link w:val="6"/>
    <w:semiHidden/>
    <w:qFormat/>
    <w:locked/>
    <w:uiPriority w:val="99"/>
    <w:rPr>
      <w:rFonts w:hint="default" w:ascii="Times New Roman" w:hAnsi="Times New Roman" w:cs="Times New Roman"/>
      <w:sz w:val="18"/>
      <w:szCs w:val="18"/>
    </w:rPr>
  </w:style>
  <w:style w:type="character" w:customStyle="1" w:styleId="16">
    <w:name w:val="批注主题 Char"/>
    <w:link w:val="2"/>
    <w:semiHidden/>
    <w:qFormat/>
    <w:uiPriority w:val="99"/>
    <w:rPr>
      <w:b/>
      <w:bCs/>
      <w:kern w:val="2"/>
      <w:sz w:val="21"/>
      <w:szCs w:val="22"/>
    </w:rPr>
  </w:style>
  <w:style w:type="character" w:customStyle="1" w:styleId="17">
    <w:name w:val="页脚 Char"/>
    <w:link w:val="5"/>
    <w:semiHidden/>
    <w:qFormat/>
    <w:locked/>
    <w:uiPriority w:val="99"/>
    <w:rPr>
      <w:rFonts w:hint="default" w:ascii="Times New Roman" w:hAnsi="Times New Roman" w:cs="Times New Roman"/>
      <w:sz w:val="18"/>
      <w:szCs w:val="18"/>
    </w:rPr>
  </w:style>
  <w:style w:type="character" w:customStyle="1" w:styleId="18">
    <w:name w:val="批注文字 Char"/>
    <w:link w:val="3"/>
    <w:qFormat/>
    <w:uiPriority w:val="99"/>
    <w:rPr>
      <w:kern w:val="2"/>
      <w:sz w:val="21"/>
      <w:szCs w:val="22"/>
    </w:rPr>
  </w:style>
  <w:style w:type="paragraph" w:customStyle="1" w:styleId="19">
    <w:name w:val="zhongyaotishi"/>
    <w:basedOn w:val="1"/>
    <w:qFormat/>
    <w:uiPriority w:val="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20">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21">
    <w:name w:val="biaoge_right1"/>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2">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24">
    <w:name w:val="msonormalfy"/>
    <w:qFormat/>
    <w:uiPriority w:val="0"/>
    <w:pPr>
      <w:widowControl w:val="0"/>
      <w:jc w:val="center"/>
    </w:pPr>
    <w:rPr>
      <w:rFonts w:ascii="Times New Roman" w:hAnsi="Times New Roman" w:eastAsia="宋体" w:cs="Times New Roman"/>
      <w:kern w:val="2"/>
      <w:sz w:val="33"/>
      <w:szCs w:val="22"/>
      <w:lang w:val="en-US" w:eastAsia="zh-CN" w:bidi="ar-SA"/>
    </w:rPr>
  </w:style>
  <w:style w:type="paragraph" w:customStyle="1" w:styleId="25">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26">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27">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28">
    <w:name w:val="hide"/>
    <w:basedOn w:val="1"/>
    <w:qFormat/>
    <w:uiPriority w:val="0"/>
    <w:pPr>
      <w:widowControl/>
      <w:spacing w:before="100" w:beforeAutospacing="1" w:after="100" w:afterAutospacing="1"/>
      <w:jc w:val="left"/>
    </w:pPr>
    <w:rPr>
      <w:rFonts w:ascii="宋体" w:hAnsi="宋体" w:cs="宋体"/>
      <w:vanish/>
      <w:kern w:val="0"/>
      <w:sz w:val="24"/>
      <w:szCs w:val="24"/>
    </w:rPr>
  </w:style>
  <w:style w:type="paragraph" w:customStyle="1" w:styleId="29">
    <w:name w:val="show"/>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0">
    <w:name w:val="msonormal_none"/>
    <w:qFormat/>
    <w:uiPriority w:val="0"/>
    <w:pPr>
      <w:widowControl w:val="0"/>
    </w:pPr>
    <w:rPr>
      <w:rFonts w:ascii="Times New Roman" w:hAnsi="Times New Roman" w:eastAsia="宋体" w:cs="Times New Roman"/>
      <w:kern w:val="2"/>
      <w:sz w:val="21"/>
      <w:szCs w:val="22"/>
      <w:lang w:val="en-US" w:eastAsia="zh-CN" w:bidi="ar-SA"/>
    </w:rPr>
  </w:style>
  <w:style w:type="paragraph" w:customStyle="1" w:styleId="31">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32">
    <w:name w:val="dqbgbnwz"/>
    <w:basedOn w:val="1"/>
    <w:qFormat/>
    <w:uiPriority w:val="0"/>
    <w:pPr>
      <w:widowControl/>
      <w:spacing w:line="288" w:lineRule="auto"/>
      <w:jc w:val="center"/>
    </w:pPr>
    <w:rPr>
      <w:rFonts w:eastAsia="黑体" w:cs="宋体"/>
      <w:kern w:val="0"/>
      <w:sz w:val="2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3709</Words>
  <Characters>5266</Characters>
  <Lines>42</Lines>
  <Paragraphs>11</Paragraphs>
  <ScaleCrop>false</ScaleCrop>
  <LinksUpToDate>false</LinksUpToDate>
  <CharactersWithSpaces>5384</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2020-12-16T03:30:00Z</dcterms:created>
  <dc:creator>总行金融市场部本币投资交易部梅浩超</dc:creator>
  <cp:lastModifiedBy>陈相莉</cp:lastModifiedBy>
  <cp:lastPrinted>2019-09-11T00:56:00Z</cp:lastPrinted>
  <dcterms:modified xsi:type="dcterms:W3CDTF">2024-09-29T07:00:31Z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EC291411959E4B93AF4090960B08BD9D_12</vt:lpwstr>
  </property>
</Properties>
</file>