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eastAsia="黑体"/>
          <w:b/>
          <w:bCs/>
          <w:color w:val="000000"/>
          <w:sz w:val="36"/>
        </w:rPr>
      </w:pPr>
      <w:r>
        <w:rPr>
          <w:rFonts w:hint="eastAsia" w:ascii="黑体" w:hAnsi="黑体" w:eastAsia="黑体" w:cs="黑体"/>
          <w:b/>
          <w:kern w:val="2"/>
          <w:sz w:val="36"/>
        </w:rPr>
        <w:t>南银理财珠联璧合鑫悦享月月盈公募人民币理财产品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南银理财珠联璧合鑫悦享月月盈公募人民币理财产品</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Z7003220000010（投资者可依据该编码在中国理财网www.chinawealth.com.cn查询理财产品相关信息）</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2019年09月26日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8,390,871,770.66份</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118.06%</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hAnsi="Calibri"/>
                <w:color w:val="000000"/>
              </w:rPr>
              <w:t>8,400,019,037.02</w:t>
            </w:r>
          </w:p>
        </w:tc>
      </w:tr>
      <w:tr>
        <w:tblPrEx>
          <w:tblLayout w:type="fixed"/>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hAnsi="Calibri"/>
                <w:color w:val="000000"/>
              </w:rPr>
              <w:t>1.0011</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color w:val="000000"/>
              </w:rPr>
              <w:t>1.0533</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b/>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eastAsiaTheme="minorEastAsia"/>
          <w:sz w:val="24"/>
          <w:szCs w:val="24"/>
        </w:rPr>
      </w:pPr>
      <w:bookmarkStart w:id="0" w:name="_Hlk63258477"/>
      <w:r>
        <w:rPr>
          <w:rFonts w:hint="eastAsia" w:asciiTheme="minorEastAsia" w:hAnsiTheme="minorEastAsia" w:eastAsiaTheme="minor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鑫悦享系列产品围绕稳健回报的收益目标进行操作，在流动性安全和资金成本可控的条件下适当增加产品杠杆，增厚产品收益；同时把握市场走势，在利率下行阶段实现资本利得收益。基于对后市的判断，产品将合理调节组合的久期与风险结构，在严控风险的基础上，精选绝对收益尚可的信用债增厚底仓收益，辅以杠杆套息策略增强收益。目前中长端利率品种相对价值较弱，产品短期将维持偏防御的久期风险敞口，在未来市场震荡调整中把握可能的波段交易机会。</w:t>
      </w:r>
      <w:bookmarkEnd w:id="0"/>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eastAsiaTheme="minorEastAsia"/>
          <w:sz w:val="24"/>
          <w:szCs w:val="24"/>
        </w:rPr>
      </w:pPr>
      <w:bookmarkStart w:id="1" w:name="_Hlk63258486"/>
      <w:r>
        <w:rPr>
          <w:rFonts w:hint="eastAsia" w:asciiTheme="minorEastAsia" w:hAnsiTheme="minorEastAsia" w:eastAsiaTheme="minorEastAsia"/>
          <w:sz w:val="24"/>
          <w:szCs w:val="24"/>
        </w:rPr>
        <w:t>2020年资金面整体宽松，本系列产品保障流动性安全，提前做好跨年资金储备，平稳度过年各关键时点。短期央行高频投放资金表达呵护市场的态度，春节前流动性预计较宽松。中期需关注资金面边际收紧的风险，本产品将结合产品中资产情况，设置合理的杠杆水平，适度拉长融资期限，控制流动性风险。</w:t>
      </w:r>
      <w:bookmarkEnd w:id="1"/>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11"/>
        <w:gridCol w:w="204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11"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4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419"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011</w:t>
            </w:r>
          </w:p>
        </w:tc>
        <w:tc>
          <w:tcPr>
            <w:tcW w:w="1611"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533</w:t>
            </w:r>
          </w:p>
        </w:tc>
        <w:tc>
          <w:tcPr>
            <w:tcW w:w="2045"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8,400,019,037.02</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4.10</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2020/1/20</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2020/1/20</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2020/1/20</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w:t>
            </w:r>
          </w:p>
        </w:tc>
        <w:tc>
          <w:tcPr>
            <w:tcW w:w="1398"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2020/3/25</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default" w:ascii="宋体" w:hAnsi="宋体" w:eastAsia="宋体"/>
                <w:b/>
                <w:color w:val="000000"/>
                <w:kern w:val="2"/>
                <w:highlight w:val="none"/>
                <w:lang w:val="en-US"/>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w:t>
            </w:r>
            <w:r>
              <w:rPr>
                <w:rFonts w:hint="eastAsia" w:ascii="宋体" w:hAnsi="宋体" w:cs="宋体"/>
                <w:color w:val="000000"/>
                <w:kern w:val="2"/>
                <w:highlight w:val="none"/>
                <w:lang w:val="en-US" w:eastAsia="zh-CN"/>
              </w:rPr>
              <w:t>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default" w:ascii="宋体" w:hAnsi="宋体" w:eastAsia="宋体"/>
                <w:b/>
                <w:color w:val="000000"/>
                <w:kern w:val="2"/>
                <w:highlight w:val="none"/>
                <w:lang w:val="en-US"/>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w:t>
            </w:r>
            <w:r>
              <w:rPr>
                <w:rFonts w:hint="eastAsia" w:ascii="宋体" w:hAnsi="宋体" w:cs="宋体"/>
                <w:color w:val="000000"/>
                <w:kern w:val="2"/>
                <w:highlight w:val="none"/>
                <w:lang w:val="en-US" w:eastAsia="zh-CN"/>
              </w:rPr>
              <w:t>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2020/10/28</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0.0300</w:t>
            </w:r>
          </w:p>
        </w:tc>
      </w:tr>
    </w:tbl>
    <w:p>
      <w:pPr>
        <w:pStyle w:val="25"/>
        <w:spacing w:line="360" w:lineRule="auto"/>
        <w:ind w:firstLine="480"/>
        <w:rPr>
          <w:color w:val="000000"/>
          <w:highlight w:val="none"/>
        </w:rPr>
      </w:pPr>
    </w:p>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2" w:name="_Hlk65766326"/>
      <w:r>
        <w:t>在托管本产品的过程中，本产品托管人南京银行股份有限公司严格遵守《商业银行理财业务监督管理办法》相关法律法规的规定以及产品说明书的约定，对本产品管理人—</w:t>
      </w:r>
      <w:r>
        <w:rPr>
          <w:rFonts w:hint="eastAsia"/>
        </w:rPr>
        <w:t>南银理财有限责任公司</w:t>
      </w:r>
      <w:r>
        <w:t>2020年01月01日至2020年12月31日产品的投资运作，进行了认真、独立的会计核算和必要的投资监督，认真履行了托管人的义务，没有从事任何损害产品份额持有人利益的行为。</w:t>
      </w:r>
      <w:bookmarkEnd w:id="2"/>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3" w:name="_Hlk65769865"/>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4" w:name="_Hlk65769872"/>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101901719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19武清经开MTN002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300,000,000.00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3.57%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031900931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19苏州资产PPN003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170,015,626.58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031771030</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17无锡山水PPN001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150,011,178.73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1.79%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042000135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20桐庐国资CP001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130,000,118.52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1.55%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180402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18农发02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120,171,641.36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081900635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19华建置业ABN001优先B</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119,183,287.41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166059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20溧开01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110,000,000.00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1.31%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101762021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17泰州城投MTN001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101,435,764.35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1.21%</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031800515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18泰州城建PPN001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100,323,608.09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1.19%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1980354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19台循债</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100,009,914.34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1.19%</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kern w:val="2"/>
                <w:shd w:val="clear" w:color="auto" w:fill="FFFFFF"/>
              </w:rPr>
            </w:pPr>
            <w:r>
              <w:rPr>
                <w:rFonts w:hint="eastAsia"/>
                <w:kern w:val="2"/>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kern w:val="2"/>
                <w:shd w:val="clear" w:color="auto" w:fill="FFFFFF"/>
              </w:rPr>
            </w:pPr>
            <w:r>
              <w:rPr>
                <w:rFonts w:hint="eastAsia"/>
                <w:kern w:val="2"/>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kern w:val="2"/>
                <w:shd w:val="clear" w:color="auto" w:fill="FFFFFF"/>
              </w:rPr>
            </w:pPr>
            <w:r>
              <w:rPr>
                <w:rFonts w:hint="eastAsia"/>
                <w:kern w:val="2"/>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kern w:val="2"/>
                <w:shd w:val="clear" w:color="auto" w:fill="FFFFFF"/>
              </w:rPr>
            </w:pPr>
            <w:r>
              <w:rPr>
                <w:rFonts w:hint="eastAsia"/>
                <w:kern w:val="2"/>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kern w:val="2"/>
                <w:shd w:val="clear" w:color="auto" w:fill="FFFFFF"/>
              </w:rPr>
            </w:pPr>
            <w:r>
              <w:rPr>
                <w:rFonts w:hint="eastAsia"/>
                <w:kern w:val="2"/>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kern w:val="2"/>
                <w:shd w:val="clear" w:color="auto" w:fill="FFFFFF"/>
              </w:rPr>
            </w:pPr>
            <w:r>
              <w:rPr>
                <w:rFonts w:hint="eastAsia"/>
                <w:kern w:val="2"/>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kern w:val="2"/>
                <w:shd w:val="clear" w:color="auto" w:fill="FFFFFF"/>
              </w:rPr>
            </w:pPr>
            <w:r>
              <w:rPr>
                <w:rFonts w:hint="eastAsia"/>
                <w:kern w:val="2"/>
              </w:rPr>
              <w:t>-</w:t>
            </w:r>
          </w:p>
        </w:tc>
      </w:tr>
    </w:tbl>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0120040000000331</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南京银行鑫悦享月月盈</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产品与关联方作为交易对手开展的投融资业务交易金额50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190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000</w:t>
      </w:r>
      <w:r>
        <w:rPr>
          <w:rFonts w:hint="eastAsia" w:ascii="宋体" w:hAnsi="宋体" w:cs="宋体"/>
          <w:sz w:val="24"/>
          <w:szCs w:val="24"/>
          <w:highlight w:val="none"/>
          <w:lang w:val="en-US" w:eastAsia="zh-CN"/>
        </w:rPr>
        <w:t>.00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产品支付关联方托管费564</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882.6</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rPr>
        <w:t>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sz w:val="24"/>
          <w:szCs w:val="24"/>
          <w:highlight w:val="none"/>
        </w:rPr>
        <w:t>报告期内，产品未发生重大关联交易。</w:t>
      </w:r>
      <w:bookmarkStart w:id="5" w:name="_GoBack"/>
      <w:bookmarkEnd w:id="5"/>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02BE"/>
    <w:rsid w:val="000234FF"/>
    <w:rsid w:val="00034FF6"/>
    <w:rsid w:val="00044BFF"/>
    <w:rsid w:val="0005474A"/>
    <w:rsid w:val="00061725"/>
    <w:rsid w:val="000837DC"/>
    <w:rsid w:val="000A3711"/>
    <w:rsid w:val="000D5066"/>
    <w:rsid w:val="000F6191"/>
    <w:rsid w:val="00130CE8"/>
    <w:rsid w:val="00141407"/>
    <w:rsid w:val="00152201"/>
    <w:rsid w:val="00172A27"/>
    <w:rsid w:val="00176636"/>
    <w:rsid w:val="00183C84"/>
    <w:rsid w:val="001C05F9"/>
    <w:rsid w:val="001C5395"/>
    <w:rsid w:val="001E4020"/>
    <w:rsid w:val="00211A4B"/>
    <w:rsid w:val="00211F26"/>
    <w:rsid w:val="002263FC"/>
    <w:rsid w:val="00243591"/>
    <w:rsid w:val="00253A2B"/>
    <w:rsid w:val="00286802"/>
    <w:rsid w:val="002A3AE9"/>
    <w:rsid w:val="002C196E"/>
    <w:rsid w:val="002D60EC"/>
    <w:rsid w:val="002D75D0"/>
    <w:rsid w:val="002E795C"/>
    <w:rsid w:val="00302B71"/>
    <w:rsid w:val="00304FE9"/>
    <w:rsid w:val="00305714"/>
    <w:rsid w:val="00313E71"/>
    <w:rsid w:val="00321CB7"/>
    <w:rsid w:val="003379A9"/>
    <w:rsid w:val="003473B2"/>
    <w:rsid w:val="00350ADF"/>
    <w:rsid w:val="00355623"/>
    <w:rsid w:val="003A0419"/>
    <w:rsid w:val="003C4D3B"/>
    <w:rsid w:val="003E09EA"/>
    <w:rsid w:val="003F0AC3"/>
    <w:rsid w:val="00411060"/>
    <w:rsid w:val="00456251"/>
    <w:rsid w:val="004A2C62"/>
    <w:rsid w:val="004A5A0C"/>
    <w:rsid w:val="004C1607"/>
    <w:rsid w:val="005069D8"/>
    <w:rsid w:val="00531EF1"/>
    <w:rsid w:val="0056162E"/>
    <w:rsid w:val="00563B93"/>
    <w:rsid w:val="00567DB3"/>
    <w:rsid w:val="005744C9"/>
    <w:rsid w:val="005B3434"/>
    <w:rsid w:val="005D55A3"/>
    <w:rsid w:val="005E2884"/>
    <w:rsid w:val="005E5050"/>
    <w:rsid w:val="005F2C7B"/>
    <w:rsid w:val="005F4D04"/>
    <w:rsid w:val="005F7DA9"/>
    <w:rsid w:val="006054F8"/>
    <w:rsid w:val="0065419A"/>
    <w:rsid w:val="00654220"/>
    <w:rsid w:val="006567EA"/>
    <w:rsid w:val="00662D4F"/>
    <w:rsid w:val="00663B94"/>
    <w:rsid w:val="00677F66"/>
    <w:rsid w:val="006C0D10"/>
    <w:rsid w:val="006C7F31"/>
    <w:rsid w:val="006E37CD"/>
    <w:rsid w:val="006E4E94"/>
    <w:rsid w:val="006F2DAB"/>
    <w:rsid w:val="00723C78"/>
    <w:rsid w:val="00730BEE"/>
    <w:rsid w:val="0073101E"/>
    <w:rsid w:val="00735153"/>
    <w:rsid w:val="00745421"/>
    <w:rsid w:val="007A4219"/>
    <w:rsid w:val="0080200C"/>
    <w:rsid w:val="00814110"/>
    <w:rsid w:val="0082561A"/>
    <w:rsid w:val="00836202"/>
    <w:rsid w:val="00846B2E"/>
    <w:rsid w:val="0084796A"/>
    <w:rsid w:val="00853290"/>
    <w:rsid w:val="0085663C"/>
    <w:rsid w:val="00865974"/>
    <w:rsid w:val="008768AB"/>
    <w:rsid w:val="008911CE"/>
    <w:rsid w:val="008926F7"/>
    <w:rsid w:val="008A7510"/>
    <w:rsid w:val="008C78BD"/>
    <w:rsid w:val="008F0FA3"/>
    <w:rsid w:val="00900D90"/>
    <w:rsid w:val="009354D6"/>
    <w:rsid w:val="00947DF2"/>
    <w:rsid w:val="00964BFF"/>
    <w:rsid w:val="00970A98"/>
    <w:rsid w:val="009C781F"/>
    <w:rsid w:val="009D5296"/>
    <w:rsid w:val="009E6170"/>
    <w:rsid w:val="00A167EC"/>
    <w:rsid w:val="00A20131"/>
    <w:rsid w:val="00A37451"/>
    <w:rsid w:val="00A4484F"/>
    <w:rsid w:val="00A76D4B"/>
    <w:rsid w:val="00A77C47"/>
    <w:rsid w:val="00A9119C"/>
    <w:rsid w:val="00AA4549"/>
    <w:rsid w:val="00AC5144"/>
    <w:rsid w:val="00AE775A"/>
    <w:rsid w:val="00B00501"/>
    <w:rsid w:val="00B13014"/>
    <w:rsid w:val="00B17559"/>
    <w:rsid w:val="00B33B19"/>
    <w:rsid w:val="00B404E6"/>
    <w:rsid w:val="00B4360D"/>
    <w:rsid w:val="00B61EA9"/>
    <w:rsid w:val="00B670D1"/>
    <w:rsid w:val="00B74DCA"/>
    <w:rsid w:val="00B91E24"/>
    <w:rsid w:val="00BC02E0"/>
    <w:rsid w:val="00BC3903"/>
    <w:rsid w:val="00BE47E0"/>
    <w:rsid w:val="00BF75C8"/>
    <w:rsid w:val="00C1762E"/>
    <w:rsid w:val="00C25123"/>
    <w:rsid w:val="00C30A48"/>
    <w:rsid w:val="00C375A7"/>
    <w:rsid w:val="00C62DF8"/>
    <w:rsid w:val="00C640FB"/>
    <w:rsid w:val="00C64846"/>
    <w:rsid w:val="00C741B2"/>
    <w:rsid w:val="00CB054E"/>
    <w:rsid w:val="00CC52D7"/>
    <w:rsid w:val="00D0202D"/>
    <w:rsid w:val="00D23AB6"/>
    <w:rsid w:val="00D50309"/>
    <w:rsid w:val="00D51AA9"/>
    <w:rsid w:val="00D66039"/>
    <w:rsid w:val="00D7264A"/>
    <w:rsid w:val="00D84E43"/>
    <w:rsid w:val="00D870DF"/>
    <w:rsid w:val="00DB0C2F"/>
    <w:rsid w:val="00DB3BF6"/>
    <w:rsid w:val="00DB7CAD"/>
    <w:rsid w:val="00DC31CC"/>
    <w:rsid w:val="00DC728A"/>
    <w:rsid w:val="00DD2F3C"/>
    <w:rsid w:val="00DD67CC"/>
    <w:rsid w:val="00E1059D"/>
    <w:rsid w:val="00E155DF"/>
    <w:rsid w:val="00E2236E"/>
    <w:rsid w:val="00E246E1"/>
    <w:rsid w:val="00E27814"/>
    <w:rsid w:val="00E560F1"/>
    <w:rsid w:val="00E9355A"/>
    <w:rsid w:val="00E944FA"/>
    <w:rsid w:val="00E9797A"/>
    <w:rsid w:val="00EA7ABC"/>
    <w:rsid w:val="00EB2241"/>
    <w:rsid w:val="00ED7A41"/>
    <w:rsid w:val="00EE0436"/>
    <w:rsid w:val="00EE29BA"/>
    <w:rsid w:val="00F1465C"/>
    <w:rsid w:val="00F41324"/>
    <w:rsid w:val="00F57C12"/>
    <w:rsid w:val="00F609FD"/>
    <w:rsid w:val="00F859AB"/>
    <w:rsid w:val="00F950D0"/>
    <w:rsid w:val="00FA2C26"/>
    <w:rsid w:val="00FC05CE"/>
    <w:rsid w:val="00FE3AD2"/>
    <w:rsid w:val="030F2BA7"/>
    <w:rsid w:val="04240CEE"/>
    <w:rsid w:val="065551D3"/>
    <w:rsid w:val="06C37561"/>
    <w:rsid w:val="0A236A5A"/>
    <w:rsid w:val="0A915DA9"/>
    <w:rsid w:val="0BA075C8"/>
    <w:rsid w:val="0CAB045E"/>
    <w:rsid w:val="10C60AB9"/>
    <w:rsid w:val="111D4539"/>
    <w:rsid w:val="13094A05"/>
    <w:rsid w:val="13297F9C"/>
    <w:rsid w:val="134727C6"/>
    <w:rsid w:val="141A5102"/>
    <w:rsid w:val="15FE575C"/>
    <w:rsid w:val="177920C8"/>
    <w:rsid w:val="18EC47C1"/>
    <w:rsid w:val="1AB73E2C"/>
    <w:rsid w:val="1ADC05C7"/>
    <w:rsid w:val="1E8C1F81"/>
    <w:rsid w:val="1E911FB2"/>
    <w:rsid w:val="1F274305"/>
    <w:rsid w:val="20F325AF"/>
    <w:rsid w:val="216F6F5C"/>
    <w:rsid w:val="22E23E75"/>
    <w:rsid w:val="23394448"/>
    <w:rsid w:val="24914F4C"/>
    <w:rsid w:val="25371409"/>
    <w:rsid w:val="2555668E"/>
    <w:rsid w:val="25AF3A81"/>
    <w:rsid w:val="25B229C2"/>
    <w:rsid w:val="25D30FC2"/>
    <w:rsid w:val="26FD4196"/>
    <w:rsid w:val="28CD1EA7"/>
    <w:rsid w:val="2945121F"/>
    <w:rsid w:val="2986009C"/>
    <w:rsid w:val="29F7636C"/>
    <w:rsid w:val="32955A2A"/>
    <w:rsid w:val="350229F7"/>
    <w:rsid w:val="35260BEB"/>
    <w:rsid w:val="36341C31"/>
    <w:rsid w:val="368076E6"/>
    <w:rsid w:val="378F5AE0"/>
    <w:rsid w:val="37F709A6"/>
    <w:rsid w:val="39E872E9"/>
    <w:rsid w:val="39FF2E40"/>
    <w:rsid w:val="3ABE1FB8"/>
    <w:rsid w:val="3C753CC7"/>
    <w:rsid w:val="3F2C3B54"/>
    <w:rsid w:val="40990310"/>
    <w:rsid w:val="40F22FA3"/>
    <w:rsid w:val="44F30C78"/>
    <w:rsid w:val="459870AF"/>
    <w:rsid w:val="45ED49CE"/>
    <w:rsid w:val="46F0109E"/>
    <w:rsid w:val="47475A63"/>
    <w:rsid w:val="4BCA232B"/>
    <w:rsid w:val="4E276A76"/>
    <w:rsid w:val="506954C1"/>
    <w:rsid w:val="509017BA"/>
    <w:rsid w:val="51482FC3"/>
    <w:rsid w:val="52830253"/>
    <w:rsid w:val="541C469D"/>
    <w:rsid w:val="5617604A"/>
    <w:rsid w:val="5AF82BBD"/>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3702</Words>
  <Characters>5317</Characters>
  <Lines>42</Lines>
  <Paragraphs>12</Paragraphs>
  <ScaleCrop>false</ScaleCrop>
  <LinksUpToDate>false</LinksUpToDate>
  <CharactersWithSpaces>5435</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2024-09-29T06:55:33Z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46B533161AD546599F682512C5C252C5_12</vt:lpwstr>
  </property>
</Properties>
</file>