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rPr>
          <w:b/>
          <w:bCs/>
          <w:color w:val="000000"/>
        </w:rPr>
      </w:pPr>
    </w:p>
    <w:p>
      <w:pPr>
        <w:pStyle w:val="26"/>
        <w:rPr>
          <w:b/>
          <w:bCs/>
          <w:color w:val="000000"/>
        </w:rPr>
      </w:pPr>
    </w:p>
    <w:p>
      <w:pPr>
        <w:pStyle w:val="26"/>
        <w:rPr>
          <w:b/>
          <w:bCs/>
          <w:color w:val="000000"/>
        </w:rPr>
      </w:pPr>
    </w:p>
    <w:p>
      <w:pPr>
        <w:pStyle w:val="8"/>
        <w:jc w:val="center"/>
        <w:rPr>
          <w:rFonts w:ascii="黑体" w:hAnsi="黑体" w:eastAsia="黑体" w:cs="黑体"/>
          <w:b/>
          <w:kern w:val="2"/>
          <w:sz w:val="36"/>
        </w:rPr>
      </w:pPr>
      <w:r>
        <w:rPr>
          <w:rFonts w:hint="eastAsia" w:ascii="黑体" w:hAnsi="黑体" w:eastAsia="黑体" w:cs="黑体"/>
          <w:b/>
          <w:kern w:val="2"/>
          <w:sz w:val="36"/>
        </w:rPr>
        <w:t>南银理财珠联璧合优稳日申季赎公募人民币理财产品</w:t>
      </w:r>
    </w:p>
    <w:p>
      <w:pPr>
        <w:pStyle w:val="26"/>
        <w:spacing w:before="240" w:after="120"/>
        <w:rPr>
          <w:rFonts w:ascii="黑体" w:hAnsi="黑体" w:eastAsia="黑体"/>
          <w:b/>
          <w:bCs/>
          <w:color w:val="000000"/>
          <w:sz w:val="36"/>
        </w:rPr>
      </w:pPr>
      <w:r>
        <w:rPr>
          <w:rFonts w:hint="eastAsia" w:ascii="黑体" w:eastAsia="黑体"/>
          <w:b/>
          <w:bCs/>
          <w:color w:val="000000"/>
          <w:sz w:val="36"/>
        </w:rPr>
        <w:t>2020</w:t>
      </w:r>
      <w:r>
        <w:rPr>
          <w:rFonts w:ascii="黑体" w:hAnsi="黑体" w:eastAsia="黑体"/>
          <w:b/>
          <w:bCs/>
          <w:color w:val="000000"/>
          <w:sz w:val="36"/>
        </w:rPr>
        <w:t>年</w:t>
      </w:r>
      <w:r>
        <w:rPr>
          <w:rFonts w:hint="eastAsia" w:ascii="黑体" w:hAnsi="Calibri" w:eastAsia="黑体"/>
          <w:b/>
          <w:color w:val="000000"/>
          <w:sz w:val="36"/>
        </w:rPr>
        <w:t>年度</w:t>
      </w:r>
      <w:r>
        <w:rPr>
          <w:rFonts w:ascii="黑体" w:hAnsi="黑体" w:eastAsia="黑体"/>
          <w:b/>
          <w:bCs/>
          <w:color w:val="000000"/>
          <w:sz w:val="36"/>
        </w:rPr>
        <w:t>报告</w:t>
      </w: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ind w:left="0"/>
        <w:jc w:val="both"/>
        <w:rPr>
          <w:rFonts w:ascii="黑体" w:hAnsi="黑体" w:eastAsia="黑体"/>
          <w:b/>
          <w:bCs/>
          <w:color w:val="000000"/>
          <w:sz w:val="36"/>
        </w:rPr>
      </w:pPr>
    </w:p>
    <w:p>
      <w:pPr>
        <w:pStyle w:val="26"/>
        <w:spacing w:before="240" w:after="120"/>
        <w:ind w:firstLine="2640" w:firstLineChars="1100"/>
        <w:jc w:val="both"/>
        <w:rPr>
          <w:color w:val="000000"/>
        </w:rPr>
      </w:pPr>
      <w:r>
        <w:rPr>
          <w:rFonts w:hint="eastAsia"/>
          <w:color w:val="000000"/>
        </w:rPr>
        <w:t>产品</w:t>
      </w:r>
      <w:r>
        <w:rPr>
          <w:color w:val="000000"/>
        </w:rPr>
        <w:t>管理人:</w:t>
      </w:r>
      <w:r>
        <w:rPr>
          <w:rFonts w:hint="eastAsia"/>
          <w:kern w:val="2"/>
        </w:rPr>
        <w:t>南银理财有限责任公司</w:t>
      </w:r>
    </w:p>
    <w:p>
      <w:pPr>
        <w:pStyle w:val="26"/>
        <w:spacing w:before="240" w:after="120"/>
        <w:ind w:firstLine="2640" w:firstLineChars="1100"/>
        <w:jc w:val="both"/>
        <w:rPr>
          <w:color w:val="000000"/>
        </w:rPr>
      </w:pPr>
      <w:r>
        <w:rPr>
          <w:rFonts w:hint="eastAsia"/>
          <w:color w:val="000000"/>
        </w:rPr>
        <w:t>产品</w:t>
      </w:r>
      <w:r>
        <w:rPr>
          <w:color w:val="000000"/>
        </w:rPr>
        <w:t>托管人:</w:t>
      </w:r>
      <w:r>
        <w:t>南京银行股份有限公司</w:t>
      </w:r>
    </w:p>
    <w:p>
      <w:pPr>
        <w:widowControl/>
        <w:jc w:val="left"/>
        <w:rPr>
          <w:b/>
          <w:bCs/>
          <w:color w:val="000000"/>
        </w:rPr>
      </w:pPr>
      <w:r>
        <w:rPr>
          <w:rFonts w:hint="eastAsia"/>
          <w:b/>
          <w:bCs/>
          <w:color w:val="000000"/>
        </w:rPr>
        <w:br w:type="page"/>
      </w:r>
    </w:p>
    <w:p>
      <w:pPr>
        <w:widowControl/>
        <w:jc w:val="left"/>
        <w:rPr>
          <w:rFonts w:ascii="宋体" w:hAnsi="宋体" w:cs="宋体"/>
          <w:color w:val="000000"/>
          <w:kern w:val="0"/>
          <w:sz w:val="24"/>
          <w:szCs w:val="24"/>
        </w:rPr>
      </w:pPr>
    </w:p>
    <w:p>
      <w:pPr>
        <w:pStyle w:val="26"/>
        <w:rPr>
          <w:color w:val="000000"/>
        </w:rPr>
      </w:pPr>
      <w:r>
        <w:rPr>
          <w:rFonts w:hint="eastAsia" w:hAnsi="Calibri"/>
          <w:b/>
          <w:color w:val="000000"/>
        </w:rPr>
        <w:t>§1 产品概况</w:t>
      </w:r>
    </w:p>
    <w:p>
      <w:pPr>
        <w:widowControl/>
        <w:jc w:val="left"/>
        <w:rPr>
          <w:rFonts w:ascii="宋体" w:hAnsi="宋体" w:cs="宋体"/>
          <w:color w:val="000000"/>
          <w:kern w:val="0"/>
          <w:sz w:val="24"/>
          <w:szCs w:val="24"/>
        </w:rPr>
      </w:pPr>
    </w:p>
    <w:tbl>
      <w:tblPr>
        <w:tblStyle w:val="13"/>
        <w:tblW w:w="9198" w:type="dxa"/>
        <w:tblInd w:w="108" w:type="dxa"/>
        <w:tblLayout w:type="fixed"/>
        <w:tblCellMar>
          <w:top w:w="0" w:type="dxa"/>
          <w:left w:w="108" w:type="dxa"/>
          <w:bottom w:w="0" w:type="dxa"/>
          <w:right w:w="108" w:type="dxa"/>
        </w:tblCellMar>
      </w:tblPr>
      <w:tblGrid>
        <w:gridCol w:w="2811"/>
        <w:gridCol w:w="6387"/>
      </w:tblGrid>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产品全称</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南银理财珠联璧合优稳日申季赎公募人民币理财产品</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产品登记编码</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pPr>
            <w:r>
              <w:rPr>
                <w:rFonts w:hint="eastAsia"/>
              </w:rPr>
              <w:t>Z7003220000013（投资者可依据该编码在中国理财网www.chinawealth.com.cn查询理财产品相关信息）</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产品运作方式</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开放式净值型</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产品成立日</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t>2020年06月04日</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报告期末产品份额总额</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highlight w:val="yellow"/>
              </w:rPr>
            </w:pPr>
            <w:r>
              <w:t>4,385,983,208.19份</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报告期末产品杠杆水平</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110.59%</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合作机构</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产品管理人</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南银理财有限责任公司</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产品托管人</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南京银行股份有限公司</w:t>
            </w:r>
          </w:p>
        </w:tc>
      </w:tr>
    </w:tbl>
    <w:p>
      <w:pPr>
        <w:widowControl/>
        <w:jc w:val="left"/>
        <w:rPr>
          <w:rFonts w:ascii="宋体" w:hAnsi="宋体" w:cs="宋体"/>
          <w:color w:val="000000"/>
          <w:kern w:val="0"/>
          <w:sz w:val="24"/>
          <w:szCs w:val="24"/>
        </w:rPr>
      </w:pPr>
    </w:p>
    <w:p>
      <w:pPr>
        <w:pStyle w:val="26"/>
        <w:rPr>
          <w:rFonts w:hAnsi="Calibri"/>
          <w:b/>
          <w:color w:val="000000"/>
        </w:rPr>
      </w:pPr>
    </w:p>
    <w:p>
      <w:pPr>
        <w:pStyle w:val="26"/>
        <w:rPr>
          <w:color w:val="000000"/>
        </w:rPr>
      </w:pPr>
      <w:r>
        <w:rPr>
          <w:rFonts w:hint="eastAsia" w:hAnsi="Calibri"/>
          <w:b/>
          <w:color w:val="000000"/>
        </w:rPr>
        <w:t>§2  主要财务指标</w:t>
      </w:r>
    </w:p>
    <w:p>
      <w:pPr>
        <w:widowControl/>
        <w:jc w:val="left"/>
        <w:rPr>
          <w:rFonts w:ascii="宋体" w:hAnsi="宋体" w:cs="宋体"/>
          <w:color w:val="000000"/>
          <w:kern w:val="0"/>
          <w:sz w:val="24"/>
          <w:szCs w:val="24"/>
        </w:rPr>
      </w:pPr>
    </w:p>
    <w:p>
      <w:pPr>
        <w:pStyle w:val="20"/>
        <w:rPr>
          <w:color w:val="000000"/>
        </w:rPr>
      </w:pPr>
      <w:r>
        <w:rPr>
          <w:rFonts w:hint="eastAsia"/>
          <w:b/>
          <w:bCs/>
          <w:color w:val="000000"/>
        </w:rPr>
        <w:t>2.1 主要财务指标</w:t>
      </w:r>
    </w:p>
    <w:p>
      <w:pPr>
        <w:widowControl/>
        <w:autoSpaceDE w:val="0"/>
        <w:autoSpaceDN w:val="0"/>
        <w:adjustRightInd w:val="0"/>
        <w:spacing w:line="288" w:lineRule="auto"/>
        <w:jc w:val="right"/>
        <w:rPr>
          <w:rFonts w:ascii="宋体" w:hAnsi="宋体" w:cs="宋体"/>
          <w:color w:val="000000"/>
          <w:kern w:val="0"/>
          <w:sz w:val="24"/>
          <w:szCs w:val="24"/>
        </w:rPr>
      </w:pPr>
      <w:r>
        <w:rPr>
          <w:rFonts w:hint="eastAsia" w:ascii="宋体" w:cs="宋体"/>
          <w:color w:val="000000"/>
          <w:kern w:val="0"/>
          <w:sz w:val="24"/>
          <w:szCs w:val="24"/>
        </w:rPr>
        <w:t>单位：人民币元</w:t>
      </w:r>
    </w:p>
    <w:tbl>
      <w:tblPr>
        <w:tblStyle w:val="13"/>
        <w:tblW w:w="9045" w:type="dxa"/>
        <w:tblInd w:w="108" w:type="dxa"/>
        <w:tblLayout w:type="fixed"/>
        <w:tblCellMar>
          <w:top w:w="0" w:type="dxa"/>
          <w:left w:w="108" w:type="dxa"/>
          <w:bottom w:w="0" w:type="dxa"/>
          <w:right w:w="108" w:type="dxa"/>
        </w:tblCellMar>
      </w:tblPr>
      <w:tblGrid>
        <w:gridCol w:w="5220"/>
        <w:gridCol w:w="3825"/>
      </w:tblGrid>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jc w:val="center"/>
              <w:rPr>
                <w:color w:val="000000"/>
              </w:rPr>
            </w:pPr>
            <w:r>
              <w:rPr>
                <w:b/>
              </w:rPr>
              <w:t>主要财务指标</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6"/>
              <w:spacing w:before="240" w:after="120"/>
              <w:rPr>
                <w:color w:val="000000"/>
              </w:rPr>
            </w:pPr>
            <w:r>
              <w:t>报告期（2020年06月04日- 2020年12月31日）</w:t>
            </w:r>
          </w:p>
        </w:tc>
      </w:tr>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rPr>
                <w:color w:val="000000"/>
              </w:rPr>
            </w:pPr>
            <w:r>
              <w:rPr>
                <w:rFonts w:hint="eastAsia"/>
                <w:shd w:val="clear" w:color="auto" w:fill="FFFFFF"/>
              </w:rPr>
              <w:t>1</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2"/>
              <w:jc w:val="center"/>
              <w:rPr>
                <w:b/>
                <w:bCs/>
                <w:color w:val="000000"/>
              </w:rPr>
            </w:pPr>
            <w:r>
              <w:t>4,498,030,615.03</w:t>
            </w:r>
          </w:p>
        </w:tc>
      </w:tr>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rPr>
                <w:color w:val="000000"/>
              </w:rPr>
            </w:pPr>
            <w:r>
              <w:rPr>
                <w:rFonts w:hint="eastAsia"/>
                <w:shd w:val="clear" w:color="auto" w:fill="FFFFFF"/>
              </w:rPr>
              <w:t>2</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2"/>
              <w:jc w:val="center"/>
              <w:rPr>
                <w:b/>
                <w:bCs/>
                <w:color w:val="000000"/>
              </w:rPr>
            </w:pPr>
            <w:r>
              <w:t>1.0255</w:t>
            </w:r>
          </w:p>
        </w:tc>
      </w:tr>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rPr>
                <w:color w:val="000000"/>
              </w:rPr>
            </w:pPr>
            <w:r>
              <w:rPr>
                <w:rFonts w:hint="eastAsia"/>
                <w:shd w:val="clear" w:color="auto" w:fill="FFFFFF"/>
              </w:rPr>
              <w:t>3</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2"/>
              <w:jc w:val="center"/>
              <w:rPr>
                <w:b/>
                <w:bCs/>
                <w:color w:val="000000"/>
              </w:rPr>
            </w:pPr>
            <w:r>
              <w:t>1.0255</w:t>
            </w:r>
          </w:p>
        </w:tc>
      </w:tr>
      <w:tr>
        <w:tblPrEx>
          <w:tblLayout w:type="fixed"/>
          <w:tblCellMar>
            <w:top w:w="0" w:type="dxa"/>
            <w:left w:w="108" w:type="dxa"/>
            <w:bottom w:w="0" w:type="dxa"/>
            <w:right w:w="108" w:type="dxa"/>
          </w:tblCellMar>
        </w:tblPrEx>
        <w:tc>
          <w:tcPr>
            <w:tcW w:w="5220" w:type="dxa"/>
            <w:vAlign w:val="center"/>
          </w:tcPr>
          <w:p>
            <w:pPr>
              <w:widowControl/>
              <w:jc w:val="left"/>
              <w:rPr>
                <w:rFonts w:ascii="宋体" w:hAnsi="宋体" w:cs="宋体"/>
                <w:color w:val="000000"/>
                <w:kern w:val="0"/>
                <w:sz w:val="24"/>
                <w:szCs w:val="24"/>
              </w:rPr>
            </w:pPr>
          </w:p>
        </w:tc>
        <w:tc>
          <w:tcPr>
            <w:tcW w:w="3825" w:type="dxa"/>
            <w:vAlign w:val="center"/>
          </w:tcPr>
          <w:p>
            <w:pPr>
              <w:widowControl/>
              <w:jc w:val="left"/>
              <w:rPr>
                <w:color w:val="000000"/>
                <w:kern w:val="0"/>
                <w:sz w:val="20"/>
                <w:szCs w:val="20"/>
              </w:rPr>
            </w:pPr>
          </w:p>
        </w:tc>
      </w:tr>
    </w:tbl>
    <w:p>
      <w:pPr>
        <w:pStyle w:val="25"/>
        <w:ind w:left="0"/>
        <w:rPr>
          <w:color w:val="000000"/>
        </w:rPr>
      </w:pPr>
    </w:p>
    <w:p>
      <w:pPr>
        <w:widowControl/>
        <w:jc w:val="left"/>
        <w:rPr>
          <w:rFonts w:ascii="宋体" w:hAnsi="宋体" w:cs="宋体"/>
          <w:color w:val="000000"/>
          <w:kern w:val="0"/>
          <w:sz w:val="24"/>
          <w:szCs w:val="24"/>
        </w:rPr>
      </w:pPr>
    </w:p>
    <w:p>
      <w:pPr>
        <w:pStyle w:val="26"/>
        <w:rPr>
          <w:color w:val="000000"/>
        </w:rPr>
      </w:pPr>
      <w:r>
        <w:rPr>
          <w:rFonts w:hint="eastAsia" w:hAnsi="Calibri"/>
          <w:b/>
          <w:color w:val="000000"/>
        </w:rPr>
        <w:t>§3  管理人报告</w:t>
      </w:r>
    </w:p>
    <w:p>
      <w:pPr>
        <w:pStyle w:val="8"/>
        <w:rPr>
          <w:b/>
          <w:color w:val="000000"/>
        </w:rPr>
      </w:pPr>
      <w:r>
        <w:rPr>
          <w:rFonts w:hint="eastAsia"/>
          <w:b/>
          <w:color w:val="000000"/>
        </w:rPr>
        <w:t>3.1 报告期内产品的投资策略和运作分析</w:t>
      </w:r>
    </w:p>
    <w:p>
      <w:pPr>
        <w:spacing w:line="360" w:lineRule="auto"/>
        <w:ind w:firstLine="480" w:firstLineChars="20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2020年宏观经济受新冠疫情冲击影响贯穿全年，全球金融市场经历大幅波动。受新冠肺炎疫情的冲击，我国一季度经济明显收缩，投资、消费、出口均出呈现了萎缩态势，一季度经济增速同比下滑6.8%。二季度以来，全国疫情防控和复工复产取得明显成效，在宏观政策不断加大力度的背景下，国内经济呈全面复苏态势，并在世界主要经济体中率先实现正增长。据初步核算，2020年国内生产总值101.6万亿元，同比增长2.3%，增速较上年下滑3.8%；全国规模以上工业增加值累计同比增长2.8%，增速较上年下滑2.9%。全国固定资产投资累计同比增长2.9%，增速较上年下滑2.5%；社会消费品零售总额391,981亿元，比上年下降3.9%。在外需恢复与供给替代驱动下，2020年我国对外贸易实现正增长，同比增长1.9%，其中出口增长4.0%，进口下降0.7%。</w:t>
      </w:r>
    </w:p>
    <w:p>
      <w:pPr>
        <w:spacing w:line="360" w:lineRule="auto"/>
        <w:ind w:firstLine="480" w:firstLineChars="20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债券市场收益率先下后上，全年波动较大。年初受突发疫情冲击、全球央行货币政策全面放松、央行加大逆周期调节力度等因素影响，市场收益率大幅下行。5月起，我国疫情防控逐步常态化，基本面预期企稳，市场风险偏好回升，同时央行货币政策边际收紧，叠加利率债供给放量等因素共振，推升市场益率走高。进入11月，国企债券违约等信用风险事件导致债券市场出现普遍性调整，信用利差持续走阔。但12月中央关于政策“不急转弯”的基调，明显提振市场情绪，加之央行连续超预期续作MLF，市场流动性充裕，信用事件冲击逐渐缓和，债市走强。整体来看，全年10年期国债收益率3.14%，较上年末无变化；10年期国开债收益率下行4bp至3.53%。</w:t>
      </w:r>
    </w:p>
    <w:p>
      <w:pPr>
        <w:spacing w:line="360" w:lineRule="auto"/>
        <w:ind w:firstLine="480" w:firstLineChars="20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展望后市，由于经济仍处于复苏进程中，短期来看，当前长端利率估值偏贵，债市后期面临调整的压力较高。但国内局部疫情、疫苗效果、中美经贸摩擦走向依然具有不确定性，市场波动可能加大。</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产品整体围绕稳健回报的收益目标进行操作，</w:t>
      </w:r>
      <w:r>
        <w:rPr>
          <w:rFonts w:hint="eastAsia" w:asciiTheme="minorEastAsia" w:hAnsiTheme="minorEastAsia" w:eastAsiaTheme="minorEastAsia"/>
          <w:color w:val="000000" w:themeColor="text1"/>
          <w:sz w:val="24"/>
          <w:szCs w:val="24"/>
        </w:rPr>
        <w:t>以信用债、利率债为主要配置资产，</w:t>
      </w:r>
      <w:r>
        <w:rPr>
          <w:rFonts w:hint="eastAsia" w:asciiTheme="minorEastAsia" w:hAnsiTheme="minorEastAsia" w:eastAsiaTheme="minorEastAsia"/>
          <w:sz w:val="24"/>
          <w:szCs w:val="24"/>
        </w:rPr>
        <w:t>在流动性安全和资金成本可控的条件下适当增加产品杠杆，增厚产品收益。未来产品将根据市场情况，灵活调整组合中的短期资产和长期资产的比例，对组合的久期与风险结构进行灵活的调整。</w:t>
      </w:r>
    </w:p>
    <w:p>
      <w:pPr>
        <w:pStyle w:val="8"/>
        <w:rPr>
          <w:b/>
          <w:color w:val="000000"/>
        </w:rPr>
      </w:pPr>
      <w:r>
        <w:rPr>
          <w:rFonts w:hint="eastAsia"/>
          <w:b/>
          <w:color w:val="000000"/>
        </w:rPr>
        <w:t>3.2 报告期内产品的流动性风险分析</w:t>
      </w:r>
    </w:p>
    <w:p>
      <w:pPr>
        <w:spacing w:line="360" w:lineRule="auto"/>
        <w:ind w:firstLine="480" w:firstLineChars="20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2020年资金面整体宽松，本系列产品保障流动性安全，提前做好跨年资金储备，平稳度过年各关键时点。短期央行高频投放资金表达呵护市场的态度，春节前流动性预计较宽松。中期需关注资金面边际收紧的风险，本产品将结合产品中资产情况，设置合理的杠杆水平，适度拉长融资期限，控制流动性风险。</w:t>
      </w:r>
    </w:p>
    <w:p>
      <w:pPr>
        <w:pStyle w:val="8"/>
        <w:rPr>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pPr>
        <w:pStyle w:val="8"/>
        <w:rPr>
          <w:b/>
          <w:color w:val="000000"/>
          <w:highlight w:val="none"/>
        </w:rPr>
      </w:pPr>
      <w:r>
        <w:rPr>
          <w:rFonts w:hint="eastAsia"/>
          <w:b/>
          <w:color w:val="000000"/>
          <w:highlight w:val="none"/>
        </w:rPr>
        <w:t>3.3.1 报告期内产品净值情况</w:t>
      </w:r>
    </w:p>
    <w:p>
      <w:pPr>
        <w:widowControl/>
        <w:autoSpaceDE w:val="0"/>
        <w:autoSpaceDN w:val="0"/>
        <w:adjustRightInd w:val="0"/>
        <w:spacing w:line="288" w:lineRule="auto"/>
        <w:jc w:val="righ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金额单位：人民币元</w:t>
      </w:r>
    </w:p>
    <w:tbl>
      <w:tblPr>
        <w:tblStyle w:val="13"/>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0"/>
        <w:gridCol w:w="1419"/>
        <w:gridCol w:w="1621"/>
        <w:gridCol w:w="2035"/>
        <w:gridCol w:w="2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0" w:type="dxa"/>
            <w:vMerge w:val="restart"/>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销售代码</w:t>
            </w:r>
          </w:p>
        </w:tc>
        <w:tc>
          <w:tcPr>
            <w:tcW w:w="5075" w:type="dxa"/>
            <w:gridSpan w:val="3"/>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sz w:val="22"/>
                <w:szCs w:val="20"/>
                <w:highlight w:val="none"/>
              </w:rPr>
              <w:t>时点指标：报告期末</w:t>
            </w:r>
          </w:p>
        </w:tc>
        <w:tc>
          <w:tcPr>
            <w:tcW w:w="2155" w:type="dxa"/>
            <w:shd w:val="clear" w:color="auto" w:fill="auto"/>
            <w:vAlign w:val="center"/>
          </w:tcPr>
          <w:p>
            <w:pPr>
              <w:spacing w:line="288" w:lineRule="auto"/>
              <w:jc w:val="center"/>
              <w:rPr>
                <w:rFonts w:hint="eastAsia" w:ascii="宋体" w:hAnsi="宋体" w:eastAsia="宋体" w:cs="宋体"/>
                <w:b/>
                <w:color w:val="000000"/>
                <w:sz w:val="22"/>
                <w:szCs w:val="20"/>
                <w:highlight w:val="none"/>
              </w:rPr>
            </w:pPr>
            <w:r>
              <w:rPr>
                <w:rFonts w:hint="eastAsia" w:ascii="宋体" w:hAnsi="宋体" w:eastAsia="宋体" w:cs="宋体"/>
                <w:color w:val="000000"/>
                <w:sz w:val="22"/>
                <w:szCs w:val="20"/>
                <w:highlight w:val="none"/>
              </w:rPr>
              <w:t>区间指标：报告期间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0" w:type="dxa"/>
            <w:vMerge w:val="continue"/>
            <w:shd w:val="clear" w:color="auto" w:fill="auto"/>
            <w:vAlign w:val="center"/>
          </w:tcPr>
          <w:p>
            <w:pPr>
              <w:pStyle w:val="33"/>
              <w:rPr>
                <w:rFonts w:hint="eastAsia" w:ascii="宋体" w:hAnsi="宋体" w:eastAsia="宋体" w:cs="宋体"/>
                <w:b/>
                <w:color w:val="000000"/>
                <w:kern w:val="2"/>
                <w:highlight w:val="none"/>
              </w:rPr>
            </w:pPr>
          </w:p>
        </w:tc>
        <w:tc>
          <w:tcPr>
            <w:tcW w:w="1419" w:type="dxa"/>
            <w:shd w:val="clear" w:color="auto" w:fill="auto"/>
            <w:vAlign w:val="center"/>
          </w:tcPr>
          <w:p>
            <w:pPr>
              <w:pStyle w:val="33"/>
              <w:rPr>
                <w:rFonts w:hint="eastAsia" w:ascii="宋体" w:hAnsi="宋体" w:eastAsia="宋体" w:cs="宋体"/>
                <w:color w:val="000000"/>
                <w:kern w:val="2"/>
                <w:highlight w:val="none"/>
              </w:rPr>
            </w:pPr>
            <w:r>
              <w:rPr>
                <w:rFonts w:hint="eastAsia" w:ascii="宋体" w:hAnsi="宋体" w:eastAsia="宋体" w:cs="宋体"/>
                <w:color w:val="000000"/>
                <w:kern w:val="2"/>
                <w:highlight w:val="none"/>
              </w:rPr>
              <w:t>份额净值</w:t>
            </w:r>
          </w:p>
        </w:tc>
        <w:tc>
          <w:tcPr>
            <w:tcW w:w="1621" w:type="dxa"/>
            <w:shd w:val="clear" w:color="auto" w:fill="auto"/>
            <w:vAlign w:val="center"/>
          </w:tcPr>
          <w:p>
            <w:pPr>
              <w:pStyle w:val="33"/>
              <w:rPr>
                <w:rFonts w:hint="eastAsia" w:ascii="宋体" w:hAnsi="宋体" w:eastAsia="宋体" w:cs="宋体"/>
                <w:color w:val="000000"/>
                <w:kern w:val="2"/>
                <w:highlight w:val="none"/>
              </w:rPr>
            </w:pPr>
            <w:r>
              <w:rPr>
                <w:rFonts w:hint="eastAsia" w:ascii="宋体" w:hAnsi="宋体" w:eastAsia="宋体" w:cs="宋体"/>
                <w:color w:val="000000"/>
                <w:kern w:val="2"/>
                <w:highlight w:val="none"/>
              </w:rPr>
              <w:t>份额累计净值</w:t>
            </w:r>
          </w:p>
        </w:tc>
        <w:tc>
          <w:tcPr>
            <w:tcW w:w="2035" w:type="dxa"/>
            <w:shd w:val="clear" w:color="auto" w:fill="auto"/>
            <w:vAlign w:val="center"/>
          </w:tcPr>
          <w:p>
            <w:pPr>
              <w:pStyle w:val="33"/>
              <w:rPr>
                <w:rFonts w:hint="eastAsia" w:ascii="宋体" w:hAnsi="宋体" w:eastAsia="宋体" w:cs="宋体"/>
                <w:color w:val="000000"/>
                <w:kern w:val="2"/>
                <w:highlight w:val="none"/>
              </w:rPr>
            </w:pPr>
            <w:r>
              <w:rPr>
                <w:rFonts w:hint="eastAsia" w:ascii="宋体" w:hAnsi="宋体" w:eastAsia="宋体" w:cs="宋体"/>
                <w:color w:val="000000"/>
                <w:kern w:val="2"/>
                <w:highlight w:val="none"/>
              </w:rPr>
              <w:t>资产净值</w:t>
            </w:r>
          </w:p>
        </w:tc>
        <w:tc>
          <w:tcPr>
            <w:tcW w:w="2155" w:type="dxa"/>
            <w:shd w:val="clear" w:color="auto" w:fill="auto"/>
            <w:vAlign w:val="center"/>
          </w:tcPr>
          <w:p>
            <w:pPr>
              <w:pStyle w:val="33"/>
              <w:rPr>
                <w:rFonts w:hint="eastAsia" w:ascii="宋体" w:hAnsi="宋体" w:eastAsia="宋体" w:cs="宋体"/>
                <w:color w:val="000000"/>
                <w:kern w:val="2"/>
                <w:highlight w:val="none"/>
              </w:rPr>
            </w:pPr>
            <w:r>
              <w:rPr>
                <w:rFonts w:hint="eastAsia" w:ascii="宋体" w:hAnsi="宋体" w:eastAsia="宋体" w:cs="宋体"/>
                <w:color w:val="000000"/>
                <w:kern w:val="2"/>
                <w:highlight w:val="none"/>
              </w:rPr>
              <w:t>净值增长率/净值收益率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0" w:type="dxa"/>
            <w:shd w:val="clear" w:color="auto" w:fill="auto"/>
            <w:vAlign w:val="center"/>
          </w:tcPr>
          <w:p>
            <w:pPr>
              <w:pStyle w:val="33"/>
              <w:rPr>
                <w:rFonts w:hint="default" w:ascii="宋体" w:hAnsi="宋体" w:eastAsia="宋体" w:cs="宋体"/>
                <w:b/>
                <w:color w:val="000000"/>
                <w:kern w:val="2"/>
                <w:highlight w:val="none"/>
                <w:lang w:val="en-US" w:eastAsia="zh-CN"/>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60001</w:t>
            </w:r>
          </w:p>
        </w:tc>
        <w:tc>
          <w:tcPr>
            <w:tcW w:w="1419" w:type="dxa"/>
            <w:shd w:val="clear" w:color="auto" w:fill="auto"/>
            <w:vAlign w:val="center"/>
          </w:tcPr>
          <w:p>
            <w:pPr>
              <w:pStyle w:val="33"/>
              <w:rPr>
                <w:rFonts w:hint="default" w:ascii="宋体" w:hAnsi="宋体" w:eastAsia="宋体" w:cs="宋体"/>
                <w:color w:val="000000"/>
                <w:kern w:val="2"/>
                <w:highlight w:val="none"/>
                <w:lang w:val="en-US" w:eastAsia="zh-CN"/>
              </w:rPr>
            </w:pPr>
            <w:r>
              <w:rPr>
                <w:rFonts w:hint="eastAsia" w:ascii="宋体" w:hAnsi="宋体" w:eastAsia="宋体" w:cs="宋体"/>
                <w:color w:val="000000"/>
                <w:highlight w:val="none"/>
              </w:rPr>
              <w:t>1.0</w:t>
            </w:r>
            <w:r>
              <w:rPr>
                <w:rFonts w:hint="eastAsia" w:ascii="宋体" w:hAnsi="宋体" w:eastAsia="宋体" w:cs="宋体"/>
                <w:color w:val="000000"/>
                <w:highlight w:val="none"/>
                <w:lang w:val="en-US" w:eastAsia="zh-CN"/>
              </w:rPr>
              <w:t>255</w:t>
            </w:r>
          </w:p>
        </w:tc>
        <w:tc>
          <w:tcPr>
            <w:tcW w:w="1621" w:type="dxa"/>
            <w:shd w:val="clear" w:color="auto" w:fill="auto"/>
            <w:vAlign w:val="center"/>
          </w:tcPr>
          <w:p>
            <w:pPr>
              <w:pStyle w:val="33"/>
              <w:rPr>
                <w:rFonts w:hint="default" w:ascii="宋体" w:hAnsi="宋体" w:eastAsia="宋体" w:cs="宋体"/>
                <w:color w:val="000000"/>
                <w:kern w:val="2"/>
                <w:highlight w:val="none"/>
                <w:lang w:val="en-US" w:eastAsia="zh-CN"/>
              </w:rPr>
            </w:pPr>
            <w:r>
              <w:rPr>
                <w:rFonts w:hint="eastAsia" w:ascii="宋体" w:hAnsi="宋体" w:eastAsia="宋体" w:cs="宋体"/>
                <w:color w:val="000000"/>
                <w:highlight w:val="none"/>
              </w:rPr>
              <w:t>1.0</w:t>
            </w:r>
            <w:r>
              <w:rPr>
                <w:rFonts w:hint="eastAsia" w:ascii="宋体" w:hAnsi="宋体" w:eastAsia="宋体" w:cs="宋体"/>
                <w:color w:val="000000"/>
                <w:highlight w:val="none"/>
                <w:lang w:val="en-US" w:eastAsia="zh-CN"/>
              </w:rPr>
              <w:t>255</w:t>
            </w:r>
          </w:p>
        </w:tc>
        <w:tc>
          <w:tcPr>
            <w:tcW w:w="203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4,498,030,615.03</w:t>
            </w:r>
          </w:p>
        </w:tc>
        <w:tc>
          <w:tcPr>
            <w:tcW w:w="21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shd w:val="clear"/>
                <w:lang w:val="en-US" w:eastAsia="zh-CN" w:bidi="ar"/>
              </w:rPr>
              <w:t>4.41%</w:t>
            </w:r>
          </w:p>
        </w:tc>
      </w:tr>
    </w:tbl>
    <w:p>
      <w:pPr>
        <w:pStyle w:val="8"/>
        <w:rPr>
          <w:rFonts w:hint="eastAsia" w:ascii="宋体" w:hAnsi="宋体" w:eastAsia="宋体" w:cs="宋体"/>
          <w:b/>
          <w:color w:val="000000"/>
          <w:highlight w:val="none"/>
        </w:rPr>
      </w:pPr>
      <w:r>
        <w:rPr>
          <w:rFonts w:hint="eastAsia" w:ascii="宋体" w:hAnsi="宋体" w:eastAsia="宋体" w:cs="宋体"/>
          <w:b/>
          <w:color w:val="000000"/>
          <w:highlight w:val="none"/>
        </w:rPr>
        <w:t>3.3.2 报告期内产品收益分配情况</w:t>
      </w:r>
    </w:p>
    <w:p>
      <w:pPr>
        <w:pStyle w:val="33"/>
        <w:jc w:val="right"/>
        <w:rPr>
          <w:rFonts w:hint="eastAsia" w:ascii="宋体" w:hAnsi="宋体" w:eastAsia="宋体" w:cs="宋体"/>
          <w:color w:val="000000"/>
          <w:kern w:val="2"/>
          <w:highlight w:val="none"/>
        </w:rPr>
      </w:pPr>
      <w:r>
        <w:rPr>
          <w:rFonts w:hint="eastAsia" w:ascii="宋体" w:hAnsi="宋体" w:eastAsia="宋体" w:cs="宋体"/>
          <w:color w:val="000000"/>
          <w:kern w:val="2"/>
          <w:highlight w:val="none"/>
        </w:rPr>
        <w:t>金额单位：</w:t>
      </w:r>
      <w:r>
        <w:rPr>
          <w:rFonts w:hint="eastAsia" w:ascii="宋体" w:hAnsi="宋体" w:eastAsia="宋体" w:cs="宋体"/>
          <w:color w:val="000000"/>
          <w:sz w:val="24"/>
          <w:highlight w:val="none"/>
        </w:rPr>
        <w:t>人民币元</w:t>
      </w:r>
    </w:p>
    <w:tbl>
      <w:tblPr>
        <w:tblStyle w:val="13"/>
        <w:tblW w:w="83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7"/>
        <w:gridCol w:w="1397"/>
        <w:gridCol w:w="1397"/>
        <w:gridCol w:w="1397"/>
        <w:gridCol w:w="1397"/>
        <w:gridCol w:w="1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销售代码</w:t>
            </w:r>
          </w:p>
        </w:tc>
        <w:tc>
          <w:tcPr>
            <w:tcW w:w="1397" w:type="dxa"/>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收益分配</w:t>
            </w:r>
          </w:p>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基准日</w:t>
            </w:r>
          </w:p>
        </w:tc>
        <w:tc>
          <w:tcPr>
            <w:tcW w:w="1397" w:type="dxa"/>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权益</w:t>
            </w:r>
          </w:p>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登记日</w:t>
            </w:r>
          </w:p>
        </w:tc>
        <w:tc>
          <w:tcPr>
            <w:tcW w:w="1397" w:type="dxa"/>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除息日</w:t>
            </w:r>
          </w:p>
        </w:tc>
        <w:tc>
          <w:tcPr>
            <w:tcW w:w="1397" w:type="dxa"/>
            <w:shd w:val="clear" w:color="auto" w:fill="auto"/>
            <w:vAlign w:val="center"/>
          </w:tcPr>
          <w:p>
            <w:pPr>
              <w:spacing w:line="288" w:lineRule="auto"/>
              <w:jc w:val="center"/>
              <w:rPr>
                <w:rFonts w:hint="eastAsia" w:ascii="宋体" w:hAnsi="宋体" w:eastAsia="宋体" w:cs="宋体"/>
                <w:b/>
                <w:color w:val="000000"/>
                <w:sz w:val="22"/>
                <w:szCs w:val="20"/>
                <w:highlight w:val="none"/>
              </w:rPr>
            </w:pPr>
            <w:r>
              <w:rPr>
                <w:rFonts w:hint="eastAsia" w:ascii="宋体" w:hAnsi="宋体" w:eastAsia="宋体" w:cs="宋体"/>
                <w:color w:val="000000"/>
                <w:sz w:val="22"/>
                <w:szCs w:val="20"/>
                <w:highlight w:val="none"/>
              </w:rPr>
              <w:t>红利</w:t>
            </w:r>
          </w:p>
          <w:p>
            <w:pPr>
              <w:spacing w:line="288" w:lineRule="auto"/>
              <w:jc w:val="center"/>
              <w:rPr>
                <w:rFonts w:hint="eastAsia" w:ascii="宋体" w:hAnsi="宋体" w:eastAsia="宋体" w:cs="宋体"/>
                <w:b/>
                <w:color w:val="000000"/>
                <w:sz w:val="22"/>
                <w:szCs w:val="20"/>
                <w:highlight w:val="none"/>
              </w:rPr>
            </w:pPr>
            <w:r>
              <w:rPr>
                <w:rFonts w:hint="eastAsia" w:ascii="宋体" w:hAnsi="宋体" w:eastAsia="宋体" w:cs="宋体"/>
                <w:color w:val="000000"/>
                <w:sz w:val="22"/>
                <w:szCs w:val="20"/>
                <w:highlight w:val="none"/>
              </w:rPr>
              <w:t>发放日</w:t>
            </w:r>
          </w:p>
        </w:tc>
        <w:tc>
          <w:tcPr>
            <w:tcW w:w="1398" w:type="dxa"/>
            <w:shd w:val="clear" w:color="auto" w:fill="auto"/>
            <w:vAlign w:val="center"/>
          </w:tcPr>
          <w:p>
            <w:pPr>
              <w:spacing w:line="288" w:lineRule="auto"/>
              <w:jc w:val="center"/>
              <w:rPr>
                <w:rFonts w:hint="eastAsia" w:ascii="宋体" w:hAnsi="宋体" w:eastAsia="宋体" w:cs="宋体"/>
                <w:b/>
                <w:color w:val="000000"/>
                <w:sz w:val="22"/>
                <w:szCs w:val="20"/>
                <w:highlight w:val="none"/>
              </w:rPr>
            </w:pPr>
            <w:r>
              <w:rPr>
                <w:rFonts w:hint="eastAsia" w:ascii="宋体" w:hAnsi="宋体" w:eastAsia="宋体" w:cs="宋体"/>
                <w:color w:val="000000"/>
                <w:sz w:val="22"/>
                <w:szCs w:val="20"/>
                <w:highlight w:val="none"/>
              </w:rPr>
              <w:t>每10份额现金分红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pStyle w:val="33"/>
              <w:rPr>
                <w:rFonts w:ascii="宋体" w:hAnsi="宋体" w:eastAsia="宋体"/>
                <w:b/>
                <w:color w:val="000000"/>
                <w:kern w:val="2"/>
                <w:highlight w:val="none"/>
              </w:rPr>
            </w:pPr>
            <w:r>
              <w:rPr>
                <w:rFonts w:hint="eastAsia" w:ascii="宋体" w:hAnsi="宋体" w:eastAsia="宋体"/>
                <w:b/>
                <w:color w:val="000000"/>
                <w:kern w:val="2"/>
                <w:highlight w:val="none"/>
              </w:rPr>
              <w:t>-</w:t>
            </w:r>
          </w:p>
        </w:tc>
        <w:tc>
          <w:tcPr>
            <w:tcW w:w="1397" w:type="dxa"/>
            <w:shd w:val="clear" w:color="auto" w:fill="auto"/>
            <w:vAlign w:val="center"/>
          </w:tcPr>
          <w:p>
            <w:pPr>
              <w:pStyle w:val="33"/>
              <w:rPr>
                <w:rFonts w:ascii="宋体" w:hAnsi="宋体" w:eastAsia="宋体"/>
                <w:color w:val="000000"/>
                <w:kern w:val="2"/>
                <w:highlight w:val="none"/>
              </w:rPr>
            </w:pPr>
            <w:r>
              <w:rPr>
                <w:rFonts w:hint="eastAsia" w:ascii="宋体" w:hAnsi="宋体" w:eastAsia="宋体"/>
                <w:color w:val="000000"/>
                <w:kern w:val="2"/>
                <w:highlight w:val="none"/>
              </w:rPr>
              <w:t>-</w:t>
            </w:r>
          </w:p>
        </w:tc>
        <w:tc>
          <w:tcPr>
            <w:tcW w:w="1397" w:type="dxa"/>
            <w:shd w:val="clear" w:color="auto" w:fill="auto"/>
            <w:vAlign w:val="center"/>
          </w:tcPr>
          <w:p>
            <w:pPr>
              <w:pStyle w:val="33"/>
              <w:rPr>
                <w:rFonts w:ascii="宋体" w:hAnsi="宋体" w:eastAsia="宋体"/>
                <w:color w:val="000000"/>
                <w:kern w:val="2"/>
                <w:highlight w:val="none"/>
              </w:rPr>
            </w:pPr>
            <w:r>
              <w:rPr>
                <w:rFonts w:hint="eastAsia" w:ascii="宋体" w:hAnsi="宋体" w:eastAsia="宋体"/>
                <w:color w:val="000000"/>
                <w:kern w:val="2"/>
                <w:highlight w:val="none"/>
              </w:rPr>
              <w:t>-</w:t>
            </w:r>
          </w:p>
        </w:tc>
        <w:tc>
          <w:tcPr>
            <w:tcW w:w="1397" w:type="dxa"/>
            <w:shd w:val="clear" w:color="auto" w:fill="auto"/>
            <w:vAlign w:val="center"/>
          </w:tcPr>
          <w:p>
            <w:pPr>
              <w:pStyle w:val="33"/>
              <w:rPr>
                <w:rFonts w:ascii="宋体" w:hAnsi="宋体" w:eastAsia="宋体"/>
                <w:color w:val="000000"/>
                <w:kern w:val="2"/>
                <w:highlight w:val="none"/>
              </w:rPr>
            </w:pPr>
            <w:r>
              <w:rPr>
                <w:rFonts w:hint="eastAsia" w:ascii="宋体" w:hAnsi="宋体" w:eastAsia="宋体"/>
                <w:color w:val="000000"/>
                <w:kern w:val="2"/>
                <w:highlight w:val="none"/>
              </w:rPr>
              <w:t>-</w:t>
            </w:r>
          </w:p>
        </w:tc>
        <w:tc>
          <w:tcPr>
            <w:tcW w:w="1397" w:type="dxa"/>
            <w:shd w:val="clear" w:color="auto" w:fill="auto"/>
            <w:vAlign w:val="center"/>
          </w:tcPr>
          <w:p>
            <w:pPr>
              <w:pStyle w:val="33"/>
              <w:rPr>
                <w:rFonts w:ascii="宋体" w:hAnsi="宋体" w:eastAsia="宋体"/>
                <w:color w:val="000000"/>
                <w:kern w:val="2"/>
                <w:highlight w:val="none"/>
              </w:rPr>
            </w:pPr>
            <w:r>
              <w:rPr>
                <w:rFonts w:hint="eastAsia" w:ascii="宋体" w:hAnsi="宋体" w:eastAsia="宋体"/>
                <w:color w:val="000000"/>
                <w:kern w:val="2"/>
                <w:highlight w:val="none"/>
              </w:rPr>
              <w:t>-</w:t>
            </w:r>
          </w:p>
        </w:tc>
        <w:tc>
          <w:tcPr>
            <w:tcW w:w="1398" w:type="dxa"/>
            <w:shd w:val="clear" w:color="auto" w:fill="auto"/>
            <w:vAlign w:val="center"/>
          </w:tcPr>
          <w:p>
            <w:pPr>
              <w:pStyle w:val="33"/>
              <w:rPr>
                <w:rFonts w:ascii="宋体" w:hAnsi="宋体" w:eastAsia="宋体"/>
                <w:color w:val="000000"/>
                <w:kern w:val="2"/>
                <w:highlight w:val="none"/>
              </w:rPr>
            </w:pPr>
            <w:r>
              <w:rPr>
                <w:rFonts w:hint="eastAsia" w:ascii="宋体" w:hAnsi="宋体" w:eastAsia="宋体"/>
                <w:color w:val="000000"/>
                <w:kern w:val="2"/>
                <w:highlight w:val="none"/>
              </w:rPr>
              <w:t>-</w:t>
            </w:r>
          </w:p>
        </w:tc>
      </w:tr>
    </w:tbl>
    <w:p>
      <w:pPr>
        <w:widowControl/>
        <w:jc w:val="left"/>
        <w:rPr>
          <w:rFonts w:ascii="宋体" w:hAnsi="宋体" w:cs="宋体"/>
          <w:color w:val="000000"/>
          <w:kern w:val="0"/>
          <w:sz w:val="24"/>
          <w:szCs w:val="24"/>
        </w:rPr>
      </w:pPr>
    </w:p>
    <w:p>
      <w:pPr>
        <w:pStyle w:val="26"/>
        <w:rPr>
          <w:rFonts w:hAnsi="Calibri"/>
          <w:b/>
          <w:color w:val="000000"/>
        </w:rPr>
      </w:pPr>
      <w:r>
        <w:rPr>
          <w:rFonts w:hint="eastAsia" w:hAnsi="Calibri"/>
          <w:b/>
          <w:color w:val="000000"/>
        </w:rPr>
        <w:t>§4  托管人报告</w:t>
      </w:r>
    </w:p>
    <w:p>
      <w:pPr>
        <w:pStyle w:val="26"/>
        <w:rPr>
          <w:rFonts w:hAnsi="Calibri"/>
          <w:b/>
          <w:color w:val="000000"/>
        </w:rPr>
      </w:pPr>
    </w:p>
    <w:p>
      <w:pPr>
        <w:pStyle w:val="8"/>
        <w:rPr>
          <w:b/>
          <w:color w:val="000000"/>
        </w:rPr>
      </w:pPr>
      <w:r>
        <w:rPr>
          <w:rFonts w:hint="eastAsia"/>
          <w:b/>
          <w:color w:val="000000"/>
        </w:rPr>
        <w:t>4.1报告期内托管人遵规守信情况声明</w:t>
      </w:r>
    </w:p>
    <w:p>
      <w:pPr>
        <w:pStyle w:val="25"/>
        <w:spacing w:line="360" w:lineRule="auto"/>
        <w:ind w:firstLine="480" w:firstLineChars="200"/>
        <w:rPr>
          <w:rFonts w:cs="Times New Roman"/>
          <w:b/>
          <w:color w:val="000000"/>
        </w:rPr>
      </w:pPr>
      <w:bookmarkStart w:id="0" w:name="_Hlk65770268"/>
      <w:bookmarkStart w:id="1" w:name="_Hlk65766326"/>
      <w:r>
        <w:rPr>
          <w:rFonts w:hint="eastAsia"/>
        </w:rPr>
        <w:t>在托管本产品的过程中，本产品托管人南京银行股份有限公司严格遵守《商业银行理财业务监督管理办法》相关法律法规的规定以及产品说明书的约定，对本产品管理人</w:t>
      </w:r>
      <w:r>
        <w:t>—</w:t>
      </w:r>
      <w:r>
        <w:rPr>
          <w:rFonts w:hint="eastAsia"/>
        </w:rPr>
        <w:t>南银理财有限责任公司</w:t>
      </w:r>
      <w:r>
        <w:t>2020</w:t>
      </w:r>
      <w:r>
        <w:rPr>
          <w:rFonts w:hint="eastAsia"/>
        </w:rPr>
        <w:t>年</w:t>
      </w:r>
      <w:r>
        <w:t>0</w:t>
      </w:r>
      <w:r>
        <w:rPr>
          <w:rFonts w:hint="eastAsia"/>
        </w:rPr>
        <w:t>6月</w:t>
      </w:r>
      <w:r>
        <w:t>0</w:t>
      </w:r>
      <w:r>
        <w:rPr>
          <w:rFonts w:hint="eastAsia"/>
        </w:rPr>
        <w:t>4日至</w:t>
      </w:r>
      <w:r>
        <w:t>2020</w:t>
      </w:r>
      <w:r>
        <w:rPr>
          <w:rFonts w:hint="eastAsia"/>
        </w:rPr>
        <w:t>年</w:t>
      </w:r>
      <w:r>
        <w:t>12</w:t>
      </w:r>
      <w:r>
        <w:rPr>
          <w:rFonts w:hint="eastAsia"/>
        </w:rPr>
        <w:t>月</w:t>
      </w:r>
      <w:r>
        <w:t>31</w:t>
      </w:r>
      <w:r>
        <w:rPr>
          <w:rFonts w:hint="eastAsia"/>
        </w:rPr>
        <w:t>日产品的投资运作，进行了认真、独立的会计核算和必要的投资监督，认真履行了托管人的义务，没有从事任何损害产品份额持有人利益的行为。</w:t>
      </w:r>
      <w:bookmarkEnd w:id="0"/>
      <w:bookmarkEnd w:id="1"/>
    </w:p>
    <w:p>
      <w:pPr>
        <w:pStyle w:val="25"/>
        <w:spacing w:line="360" w:lineRule="auto"/>
        <w:rPr>
          <w:rFonts w:cs="Times New Roman"/>
          <w:b/>
          <w:color w:val="000000"/>
        </w:rPr>
      </w:pPr>
      <w:r>
        <w:rPr>
          <w:rFonts w:hint="eastAsia" w:cs="Times New Roman"/>
          <w:b/>
          <w:color w:val="000000"/>
        </w:rPr>
        <w:t>4.2 托管人对报告期内投资运作遵规守信、净值计算、利润分配等情况的说明</w:t>
      </w:r>
    </w:p>
    <w:p>
      <w:pPr>
        <w:pStyle w:val="25"/>
        <w:spacing w:line="360" w:lineRule="auto"/>
        <w:ind w:firstLine="480"/>
        <w:rPr>
          <w:color w:val="000000"/>
        </w:rPr>
      </w:pPr>
      <w:bookmarkStart w:id="2" w:name="_Hlk65769865"/>
      <w:r>
        <w:rPr>
          <w:rFonts w:hint="eastAsia"/>
        </w:rPr>
        <w:t>本托管人认为，南京银行股份有限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bookmarkEnd w:id="2"/>
    </w:p>
    <w:p>
      <w:pPr>
        <w:pStyle w:val="25"/>
        <w:spacing w:line="360" w:lineRule="auto"/>
        <w:rPr>
          <w:rFonts w:cs="Times New Roman"/>
          <w:b/>
          <w:color w:val="000000"/>
        </w:rPr>
      </w:pPr>
      <w:r>
        <w:rPr>
          <w:rFonts w:hint="eastAsia" w:cs="Times New Roman"/>
          <w:b/>
          <w:color w:val="000000"/>
        </w:rPr>
        <w:t>4.3 托管人对本年度报告中财务信息等内容的真实、准确和完整发表意见</w:t>
      </w:r>
    </w:p>
    <w:p>
      <w:pPr>
        <w:pStyle w:val="25"/>
        <w:spacing w:line="360" w:lineRule="auto"/>
        <w:ind w:firstLine="480"/>
      </w:pPr>
      <w:bookmarkStart w:id="3" w:name="_Hlk65769872"/>
      <w:r>
        <w:rPr>
          <w:rFonts w:hint="eastAsia"/>
        </w:rPr>
        <w:t>本托管人认为，南京银行股份有限公司的信息披露事务符合《商业银行理财业务监督管理办法》及其他相关法律法规的规定，产品管理人所编制和披露的本产品年度报告中的财务指标、净值表现、财务会计报告、投资组合报告等信息真实、准确、完整，未发现有损害产品持有人利益的行为。</w:t>
      </w:r>
      <w:bookmarkEnd w:id="3"/>
    </w:p>
    <w:p>
      <w:pPr>
        <w:pStyle w:val="25"/>
        <w:spacing w:line="360" w:lineRule="auto"/>
        <w:ind w:firstLine="480"/>
        <w:rPr>
          <w:color w:val="000000"/>
        </w:rPr>
      </w:pPr>
    </w:p>
    <w:p>
      <w:pPr>
        <w:pStyle w:val="26"/>
        <w:rPr>
          <w:color w:val="000000"/>
        </w:rPr>
      </w:pPr>
      <w:r>
        <w:rPr>
          <w:rFonts w:hint="eastAsia" w:hAnsi="Calibri"/>
          <w:b/>
          <w:color w:val="000000"/>
        </w:rPr>
        <w:t>§</w:t>
      </w:r>
      <w:r>
        <w:rPr>
          <w:rFonts w:hint="eastAsia" w:hAnsi="Calibri"/>
          <w:b/>
          <w:color w:val="000000"/>
          <w:lang w:val="en-US" w:eastAsia="zh-CN"/>
        </w:rPr>
        <w:t>5</w:t>
      </w:r>
      <w:r>
        <w:rPr>
          <w:rFonts w:hint="eastAsia" w:hAnsi="Calibri"/>
          <w:b/>
          <w:color w:val="000000"/>
        </w:rPr>
        <w:t xml:space="preserve">  投资组合报告</w:t>
      </w:r>
    </w:p>
    <w:p>
      <w:pPr>
        <w:widowControl/>
        <w:jc w:val="left"/>
        <w:rPr>
          <w:rFonts w:ascii="宋体" w:hAnsi="宋体" w:cs="宋体"/>
          <w:color w:val="000000"/>
          <w:kern w:val="0"/>
          <w:sz w:val="24"/>
          <w:szCs w:val="24"/>
        </w:rPr>
      </w:pPr>
    </w:p>
    <w:p>
      <w:pPr>
        <w:pStyle w:val="20"/>
        <w:ind w:left="0"/>
      </w:pPr>
      <w:r>
        <w:rPr>
          <w:rFonts w:hint="eastAsia"/>
          <w:b/>
          <w:bCs/>
          <w:color w:val="000000"/>
          <w:lang w:val="en-US" w:eastAsia="zh-CN"/>
        </w:rPr>
        <w:t>5</w:t>
      </w:r>
      <w:r>
        <w:rPr>
          <w:rFonts w:hint="eastAsia"/>
          <w:b/>
          <w:bCs/>
          <w:color w:val="000000"/>
        </w:rPr>
        <w:t xml:space="preserve">.1 </w:t>
      </w:r>
      <w:r>
        <w:rPr>
          <w:rFonts w:hint="eastAsia"/>
          <w:b/>
          <w:bCs/>
        </w:rPr>
        <w:t>报告期末产品资产组合情况</w:t>
      </w:r>
    </w:p>
    <w:p>
      <w:pPr>
        <w:pStyle w:val="20"/>
        <w:ind w:left="0"/>
      </w:pPr>
    </w:p>
    <w:tbl>
      <w:tblPr>
        <w:tblStyle w:val="13"/>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100.00%</w:t>
            </w:r>
          </w:p>
        </w:tc>
      </w:tr>
    </w:tbl>
    <w:p>
      <w:pPr>
        <w:widowControl/>
        <w:jc w:val="left"/>
        <w:rPr>
          <w:rFonts w:ascii="宋体" w:hAnsi="宋体" w:cs="宋体"/>
          <w:color w:val="000000"/>
          <w:kern w:val="0"/>
          <w:sz w:val="24"/>
          <w:szCs w:val="24"/>
        </w:rPr>
      </w:pPr>
    </w:p>
    <w:p>
      <w:pPr>
        <w:pStyle w:val="20"/>
        <w:rPr>
          <w:b/>
          <w:bCs/>
          <w:color w:val="000000"/>
        </w:rPr>
      </w:pPr>
      <w:r>
        <w:rPr>
          <w:rFonts w:hint="eastAsia"/>
          <w:b/>
          <w:bCs/>
          <w:color w:val="000000"/>
          <w:lang w:val="en-US" w:eastAsia="zh-CN"/>
        </w:rPr>
        <w:t>5</w:t>
      </w:r>
      <w:r>
        <w:rPr>
          <w:rFonts w:hint="eastAsia"/>
          <w:b/>
          <w:bCs/>
          <w:color w:val="000000"/>
        </w:rPr>
        <w:t>.2 报告期末按公允价值资产净值比例大小排序的前十名资产投资明细</w:t>
      </w:r>
    </w:p>
    <w:tbl>
      <w:tblPr>
        <w:tblStyle w:val="13"/>
        <w:tblW w:w="8800" w:type="dxa"/>
        <w:tblInd w:w="93" w:type="dxa"/>
        <w:tblLayout w:type="fixed"/>
        <w:tblCellMar>
          <w:top w:w="0" w:type="dxa"/>
          <w:left w:w="108" w:type="dxa"/>
          <w:bottom w:w="0" w:type="dxa"/>
          <w:right w:w="108" w:type="dxa"/>
        </w:tblCellMar>
      </w:tblPr>
      <w:tblGrid>
        <w:gridCol w:w="582"/>
        <w:gridCol w:w="1728"/>
        <w:gridCol w:w="2690"/>
        <w:gridCol w:w="2035"/>
        <w:gridCol w:w="1765"/>
      </w:tblGrid>
      <w:tr>
        <w:tblPrEx>
          <w:tblLayout w:type="fixed"/>
          <w:tblCellMar>
            <w:top w:w="0" w:type="dxa"/>
            <w:left w:w="108" w:type="dxa"/>
            <w:bottom w:w="0" w:type="dxa"/>
            <w:right w:w="108" w:type="dxa"/>
          </w:tblCellMar>
        </w:tblPrEx>
        <w:trPr>
          <w:trHeight w:val="870" w:hRule="atLeast"/>
        </w:trPr>
        <w:tc>
          <w:tcPr>
            <w:tcW w:w="582" w:type="dxa"/>
            <w:tcBorders>
              <w:top w:val="single" w:color="000000" w:sz="8" w:space="0"/>
              <w:left w:val="single" w:color="000000" w:sz="8" w:space="0"/>
              <w:bottom w:val="single" w:color="000000" w:sz="8" w:space="0"/>
              <w:right w:val="single" w:color="000000" w:sz="8" w:space="0"/>
            </w:tcBorders>
            <w:vAlign w:val="center"/>
          </w:tcPr>
          <w:p>
            <w:pPr>
              <w:pStyle w:val="23"/>
              <w:rPr>
                <w:color w:val="000000"/>
              </w:rPr>
            </w:pPr>
            <w:r>
              <w:rPr>
                <w:rFonts w:hint="eastAsia"/>
                <w:color w:val="000000"/>
              </w:rPr>
              <w:t>序号</w:t>
            </w:r>
          </w:p>
        </w:tc>
        <w:tc>
          <w:tcPr>
            <w:tcW w:w="1728"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代码</w:t>
            </w:r>
          </w:p>
        </w:tc>
        <w:tc>
          <w:tcPr>
            <w:tcW w:w="2690"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名称</w:t>
            </w:r>
          </w:p>
        </w:tc>
        <w:tc>
          <w:tcPr>
            <w:tcW w:w="2035"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公允价值(元)</w:t>
            </w:r>
          </w:p>
        </w:tc>
        <w:tc>
          <w:tcPr>
            <w:tcW w:w="1765"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占产品资产净值比例（％）</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1</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145713</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17玄武债</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101,630,724.35</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2.26%</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2</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150806</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18海门04</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101,383,102.76</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2.25%</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3</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031768002</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17郑州经开PPN001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101,259,740.96</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2.25%</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4</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180412</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18农发12</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100,155,725.31</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2.23%</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5</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101800073</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18淮安水利MTN001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100,000,114.97</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2.22%</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6</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1728021</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17工商银行二级01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99,999,943.31</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2.22%</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7</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114755</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20长金01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99,272,686.47</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2.21%</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8</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102001053</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20丰台国资MTN001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97,882,319.08</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2.18%</w:t>
            </w:r>
          </w:p>
        </w:tc>
      </w:tr>
      <w:tr>
        <w:tblPrEx>
          <w:tblLayout w:type="fixed"/>
          <w:tblCellMar>
            <w:top w:w="0" w:type="dxa"/>
            <w:left w:w="108" w:type="dxa"/>
            <w:bottom w:w="0" w:type="dxa"/>
            <w:right w:w="108" w:type="dxa"/>
          </w:tblCellMar>
        </w:tblPrEx>
        <w:trPr>
          <w:trHeight w:val="355"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9</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150858</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18六合02</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90,620,265.24</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2.01%</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10</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190203</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19国开03</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89,873,796.28</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2.00%</w:t>
            </w:r>
          </w:p>
        </w:tc>
      </w:tr>
    </w:tbl>
    <w:p>
      <w:pPr>
        <w:widowControl/>
        <w:jc w:val="left"/>
        <w:rPr>
          <w:rFonts w:ascii="宋体" w:hAnsi="宋体" w:cs="宋体"/>
          <w:b/>
          <w:sz w:val="24"/>
          <w:szCs w:val="24"/>
          <w:shd w:val="clear" w:color="auto" w:fill="FFFFFF"/>
        </w:rPr>
      </w:pPr>
    </w:p>
    <w:p>
      <w:pPr>
        <w:widowControl/>
        <w:jc w:val="left"/>
        <w:rPr>
          <w:rFonts w:ascii="宋体" w:hAnsi="宋体" w:cs="宋体"/>
          <w:b/>
          <w:sz w:val="24"/>
          <w:szCs w:val="24"/>
          <w:shd w:val="clear" w:color="auto" w:fill="FFFFFF"/>
        </w:rPr>
      </w:pPr>
      <w:r>
        <w:rPr>
          <w:rFonts w:hint="eastAsia" w:ascii="宋体" w:hAnsi="宋体" w:cs="宋体"/>
          <w:b/>
          <w:sz w:val="24"/>
          <w:szCs w:val="24"/>
          <w:shd w:val="clear" w:color="auto" w:fill="FFFFFF"/>
          <w:lang w:val="en-US" w:eastAsia="zh-CN"/>
        </w:rPr>
        <w:t>5</w:t>
      </w:r>
      <w:r>
        <w:rPr>
          <w:rFonts w:hint="eastAsia" w:ascii="宋体" w:hAnsi="宋体" w:cs="宋体"/>
          <w:b/>
          <w:sz w:val="24"/>
          <w:szCs w:val="24"/>
          <w:shd w:val="clear" w:color="auto" w:fill="FFFFFF"/>
        </w:rPr>
        <w:t>.3报告期末非标准化债权类资产明细</w:t>
      </w:r>
    </w:p>
    <w:p>
      <w:pPr>
        <w:widowControl/>
        <w:jc w:val="left"/>
        <w:rPr>
          <w:b/>
          <w:shd w:val="clear" w:color="auto" w:fill="FFFFFF"/>
        </w:rPr>
      </w:pPr>
    </w:p>
    <w:tbl>
      <w:tblPr>
        <w:tblStyle w:val="13"/>
        <w:tblW w:w="8931" w:type="dxa"/>
        <w:tblInd w:w="108" w:type="dxa"/>
        <w:tblLayout w:type="fixed"/>
        <w:tblCellMar>
          <w:top w:w="0" w:type="dxa"/>
          <w:left w:w="108" w:type="dxa"/>
          <w:bottom w:w="0" w:type="dxa"/>
          <w:right w:w="108" w:type="dxa"/>
        </w:tblCellMar>
      </w:tblPr>
      <w:tblGrid>
        <w:gridCol w:w="709"/>
        <w:gridCol w:w="1276"/>
        <w:gridCol w:w="1701"/>
        <w:gridCol w:w="1417"/>
        <w:gridCol w:w="1701"/>
        <w:gridCol w:w="1276"/>
        <w:gridCol w:w="851"/>
      </w:tblGrid>
      <w:tr>
        <w:tblPrEx>
          <w:tblLayout w:type="fixed"/>
          <w:tblCellMar>
            <w:top w:w="0" w:type="dxa"/>
            <w:left w:w="108" w:type="dxa"/>
            <w:bottom w:w="0" w:type="dxa"/>
            <w:right w:w="108" w:type="dxa"/>
          </w:tblCellMar>
        </w:tblPrEx>
        <w:tc>
          <w:tcPr>
            <w:tcW w:w="709"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hAnsi="Calibri"/>
                <w:shd w:val="clear" w:color="auto" w:fill="FFFFFF"/>
              </w:rPr>
              <w:t>序号</w:t>
            </w:r>
          </w:p>
        </w:tc>
        <w:tc>
          <w:tcPr>
            <w:tcW w:w="1276"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融资客户</w:t>
            </w:r>
          </w:p>
        </w:tc>
        <w:tc>
          <w:tcPr>
            <w:tcW w:w="1701"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hAnsi="Calibri"/>
                <w:shd w:val="clear" w:color="auto" w:fill="FFFFFF"/>
              </w:rPr>
              <w:t>项目名称</w:t>
            </w:r>
          </w:p>
        </w:tc>
        <w:tc>
          <w:tcPr>
            <w:tcW w:w="1417"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剩余融资期限</w:t>
            </w:r>
          </w:p>
        </w:tc>
        <w:tc>
          <w:tcPr>
            <w:tcW w:w="1701"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到期收益分配</w:t>
            </w:r>
          </w:p>
        </w:tc>
        <w:tc>
          <w:tcPr>
            <w:tcW w:w="1276"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交易结构</w:t>
            </w:r>
          </w:p>
        </w:tc>
        <w:tc>
          <w:tcPr>
            <w:tcW w:w="851"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风险状况</w:t>
            </w:r>
          </w:p>
        </w:tc>
      </w:tr>
      <w:tr>
        <w:tblPrEx>
          <w:tblLayout w:type="fixed"/>
          <w:tblCellMar>
            <w:top w:w="0" w:type="dxa"/>
            <w:left w:w="108" w:type="dxa"/>
            <w:bottom w:w="0" w:type="dxa"/>
            <w:right w:w="108" w:type="dxa"/>
          </w:tblCellMar>
        </w:tblPrEx>
        <w:tc>
          <w:tcPr>
            <w:tcW w:w="709" w:type="dxa"/>
            <w:tcBorders>
              <w:top w:val="single" w:color="000000" w:sz="8" w:space="0"/>
              <w:left w:val="single" w:color="000000" w:sz="8" w:space="0"/>
              <w:bottom w:val="single" w:color="000000" w:sz="8" w:space="0"/>
              <w:right w:val="single" w:color="000000" w:sz="8" w:space="0"/>
            </w:tcBorders>
            <w:vAlign w:val="center"/>
          </w:tcPr>
          <w:p>
            <w:pPr>
              <w:pStyle w:val="23"/>
              <w:wordWrap w:val="0"/>
              <w:rPr>
                <w:shd w:val="clear" w:color="auto" w:fill="FFFFFF"/>
              </w:rPr>
            </w:pPr>
            <w:r>
              <w:rPr>
                <w:rFonts w:hint="eastAsia"/>
              </w:rPr>
              <w:t>1</w:t>
            </w:r>
          </w:p>
        </w:tc>
        <w:tc>
          <w:tcPr>
            <w:tcW w:w="1276" w:type="dxa"/>
            <w:tcBorders>
              <w:top w:val="single" w:color="000000" w:sz="8" w:space="0"/>
              <w:left w:val="single" w:color="000000" w:sz="8" w:space="0"/>
              <w:bottom w:val="single" w:color="000000" w:sz="8" w:space="0"/>
              <w:right w:val="single" w:color="000000" w:sz="8" w:space="0"/>
            </w:tcBorders>
            <w:vAlign w:val="center"/>
          </w:tcPr>
          <w:p>
            <w:pPr>
              <w:pStyle w:val="25"/>
              <w:wordWrap w:val="0"/>
              <w:jc w:val="center"/>
              <w:rPr>
                <w:shd w:val="clear" w:color="auto" w:fill="FFFFFF"/>
              </w:rPr>
            </w:pPr>
            <w:r>
              <w:rPr>
                <w:rFonts w:hint="eastAsia"/>
              </w:rPr>
              <w:t>-</w:t>
            </w:r>
          </w:p>
        </w:tc>
        <w:tc>
          <w:tcPr>
            <w:tcW w:w="1701" w:type="dxa"/>
            <w:tcBorders>
              <w:top w:val="single" w:color="000000" w:sz="8" w:space="0"/>
              <w:left w:val="single" w:color="000000" w:sz="8" w:space="0"/>
              <w:bottom w:val="single" w:color="000000" w:sz="8" w:space="0"/>
              <w:right w:val="single" w:color="000000" w:sz="8" w:space="0"/>
            </w:tcBorders>
            <w:vAlign w:val="center"/>
          </w:tcPr>
          <w:p>
            <w:pPr>
              <w:pStyle w:val="25"/>
              <w:wordWrap w:val="0"/>
              <w:jc w:val="center"/>
              <w:rPr>
                <w:shd w:val="clear" w:color="auto" w:fill="FFFFFF"/>
              </w:rPr>
            </w:pPr>
            <w:r>
              <w:rPr>
                <w:rFonts w:hint="eastAsia"/>
              </w:rPr>
              <w:t>-</w:t>
            </w:r>
          </w:p>
        </w:tc>
        <w:tc>
          <w:tcPr>
            <w:tcW w:w="1417" w:type="dxa"/>
            <w:tcBorders>
              <w:top w:val="single" w:color="000000" w:sz="8" w:space="0"/>
              <w:left w:val="single" w:color="000000" w:sz="8" w:space="0"/>
              <w:bottom w:val="single" w:color="000000" w:sz="8" w:space="0"/>
              <w:right w:val="single" w:color="000000" w:sz="8" w:space="0"/>
            </w:tcBorders>
            <w:vAlign w:val="center"/>
          </w:tcPr>
          <w:p>
            <w:pPr>
              <w:pStyle w:val="22"/>
              <w:jc w:val="center"/>
              <w:rPr>
                <w:shd w:val="clear" w:color="auto" w:fill="FFFFFF"/>
              </w:rPr>
            </w:pPr>
            <w:r>
              <w:rPr>
                <w:rFonts w:hint="eastAsia"/>
              </w:rPr>
              <w:t>-</w:t>
            </w:r>
          </w:p>
        </w:tc>
        <w:tc>
          <w:tcPr>
            <w:tcW w:w="1701" w:type="dxa"/>
            <w:tcBorders>
              <w:top w:val="single" w:color="000000" w:sz="8" w:space="0"/>
              <w:left w:val="single" w:color="000000" w:sz="8" w:space="0"/>
              <w:bottom w:val="single" w:color="000000" w:sz="8" w:space="0"/>
              <w:right w:val="single" w:color="000000" w:sz="8" w:space="0"/>
            </w:tcBorders>
            <w:vAlign w:val="center"/>
          </w:tcPr>
          <w:p>
            <w:pPr>
              <w:pStyle w:val="22"/>
              <w:jc w:val="center"/>
              <w:rPr>
                <w:shd w:val="clear" w:color="auto" w:fill="FFFFFF"/>
              </w:rPr>
            </w:pPr>
            <w:r>
              <w:rPr>
                <w:rFonts w:hint="eastAsia"/>
              </w:rPr>
              <w:t>-</w:t>
            </w:r>
          </w:p>
        </w:tc>
        <w:tc>
          <w:tcPr>
            <w:tcW w:w="1276" w:type="dxa"/>
            <w:tcBorders>
              <w:top w:val="single" w:color="000000" w:sz="8" w:space="0"/>
              <w:left w:val="single" w:color="000000" w:sz="8" w:space="0"/>
              <w:bottom w:val="single" w:color="000000" w:sz="8" w:space="0"/>
              <w:right w:val="single" w:color="000000" w:sz="8" w:space="0"/>
            </w:tcBorders>
            <w:vAlign w:val="center"/>
          </w:tcPr>
          <w:p>
            <w:pPr>
              <w:pStyle w:val="22"/>
              <w:jc w:val="center"/>
              <w:rPr>
                <w:shd w:val="clear" w:color="auto" w:fill="FFFFFF"/>
              </w:rPr>
            </w:pPr>
            <w:r>
              <w:rPr>
                <w:rFonts w:hint="eastAsia"/>
              </w:rPr>
              <w:t>-</w:t>
            </w:r>
          </w:p>
        </w:tc>
        <w:tc>
          <w:tcPr>
            <w:tcW w:w="851" w:type="dxa"/>
            <w:tcBorders>
              <w:top w:val="single" w:color="000000" w:sz="8" w:space="0"/>
              <w:left w:val="single" w:color="000000" w:sz="8" w:space="0"/>
              <w:bottom w:val="single" w:color="000000" w:sz="8" w:space="0"/>
              <w:right w:val="single" w:color="000000" w:sz="8" w:space="0"/>
            </w:tcBorders>
            <w:vAlign w:val="center"/>
          </w:tcPr>
          <w:p>
            <w:pPr>
              <w:pStyle w:val="25"/>
              <w:wordWrap w:val="0"/>
              <w:jc w:val="center"/>
              <w:rPr>
                <w:shd w:val="clear" w:color="auto" w:fill="FFFFFF"/>
              </w:rPr>
            </w:pPr>
            <w:r>
              <w:rPr>
                <w:rFonts w:hint="eastAsia"/>
              </w:rPr>
              <w:t>-</w:t>
            </w:r>
          </w:p>
        </w:tc>
      </w:tr>
    </w:tbl>
    <w:p>
      <w:pPr>
        <w:widowControl/>
        <w:jc w:val="left"/>
        <w:rPr>
          <w:rFonts w:ascii="宋体" w:hAnsi="宋体" w:cs="宋体"/>
          <w:color w:val="000000"/>
          <w:kern w:val="0"/>
          <w:sz w:val="24"/>
          <w:szCs w:val="24"/>
        </w:rPr>
      </w:pPr>
    </w:p>
    <w:p>
      <w:pPr>
        <w:pStyle w:val="26"/>
        <w:rPr>
          <w:b/>
          <w:bCs/>
          <w:color w:val="000000"/>
          <w:highlight w:val="none"/>
        </w:rPr>
      </w:pPr>
      <w:r>
        <w:rPr>
          <w:rFonts w:hint="eastAsia"/>
          <w:b/>
          <w:bCs/>
          <w:color w:val="000000"/>
          <w:highlight w:val="none"/>
        </w:rPr>
        <w:t>§</w:t>
      </w:r>
      <w:r>
        <w:rPr>
          <w:rFonts w:hint="eastAsia"/>
          <w:b/>
          <w:bCs/>
          <w:color w:val="000000"/>
          <w:highlight w:val="none"/>
          <w:lang w:val="en-US" w:eastAsia="zh-CN"/>
        </w:rPr>
        <w:t>6</w:t>
      </w:r>
      <w:r>
        <w:rPr>
          <w:rFonts w:hint="eastAsia"/>
          <w:b/>
          <w:bCs/>
          <w:color w:val="000000"/>
          <w:highlight w:val="none"/>
        </w:rPr>
        <w:t xml:space="preserve"> 投资账户信息</w:t>
      </w:r>
    </w:p>
    <w:tbl>
      <w:tblPr>
        <w:tblStyle w:val="13"/>
        <w:tblW w:w="9205" w:type="dxa"/>
        <w:tblInd w:w="95" w:type="dxa"/>
        <w:tblLayout w:type="fixed"/>
        <w:tblCellMar>
          <w:top w:w="0" w:type="dxa"/>
          <w:left w:w="108" w:type="dxa"/>
          <w:bottom w:w="0" w:type="dxa"/>
          <w:right w:w="108" w:type="dxa"/>
        </w:tblCellMar>
      </w:tblPr>
      <w:tblGrid>
        <w:gridCol w:w="711"/>
        <w:gridCol w:w="1320"/>
        <w:gridCol w:w="2390"/>
        <w:gridCol w:w="3463"/>
        <w:gridCol w:w="1321"/>
      </w:tblGrid>
      <w:tr>
        <w:tblPrEx>
          <w:tblLayout w:type="fixed"/>
          <w:tblCellMar>
            <w:top w:w="0" w:type="dxa"/>
            <w:left w:w="108" w:type="dxa"/>
            <w:bottom w:w="0" w:type="dxa"/>
            <w:right w:w="108" w:type="dxa"/>
          </w:tblCellMar>
        </w:tblPrEx>
        <w:trPr>
          <w:trHeight w:val="705" w:hRule="atLeast"/>
        </w:trPr>
        <w:tc>
          <w:tcPr>
            <w:tcW w:w="711" w:type="dxa"/>
            <w:tcBorders>
              <w:top w:val="single" w:color="000000" w:sz="8" w:space="0"/>
              <w:left w:val="single" w:color="000000" w:sz="8" w:space="0"/>
              <w:bottom w:val="single" w:color="000000" w:sz="6" w:space="0"/>
              <w:right w:val="single" w:color="000000" w:sz="8" w:space="0"/>
            </w:tcBorders>
            <w:vAlign w:val="center"/>
          </w:tcPr>
          <w:p>
            <w:pPr>
              <w:pStyle w:val="23"/>
              <w:rPr>
                <w:highlight w:val="none"/>
                <w:shd w:val="clear" w:color="auto" w:fill="FFFFFF"/>
              </w:rPr>
            </w:pPr>
            <w:r>
              <w:rPr>
                <w:rFonts w:hint="eastAsia" w:hAnsi="Calibri"/>
                <w:highlight w:val="none"/>
                <w:shd w:val="clear" w:color="auto" w:fill="FFFFFF"/>
              </w:rPr>
              <w:t>序号</w:t>
            </w:r>
          </w:p>
        </w:tc>
        <w:tc>
          <w:tcPr>
            <w:tcW w:w="1320"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账户类型</w:t>
            </w:r>
          </w:p>
        </w:tc>
        <w:tc>
          <w:tcPr>
            <w:tcW w:w="2390"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Ansi="Calibri"/>
                <w:highlight w:val="none"/>
                <w:shd w:val="clear" w:color="auto" w:fill="FFFFFF"/>
              </w:rPr>
              <w:t>账号</w:t>
            </w:r>
          </w:p>
        </w:tc>
        <w:tc>
          <w:tcPr>
            <w:tcW w:w="3463"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账户名称</w:t>
            </w:r>
          </w:p>
        </w:tc>
        <w:tc>
          <w:tcPr>
            <w:tcW w:w="1321"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开户单位</w:t>
            </w:r>
          </w:p>
        </w:tc>
      </w:tr>
      <w:tr>
        <w:tblPrEx>
          <w:tblLayout w:type="fixed"/>
          <w:tblCellMar>
            <w:top w:w="0" w:type="dxa"/>
            <w:left w:w="108" w:type="dxa"/>
            <w:bottom w:w="0" w:type="dxa"/>
            <w:right w:w="108" w:type="dxa"/>
          </w:tblCellMar>
        </w:tblPrEx>
        <w:trPr>
          <w:trHeight w:val="364" w:hRule="atLeast"/>
        </w:trPr>
        <w:tc>
          <w:tcPr>
            <w:tcW w:w="711"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rFonts w:hint="eastAsia" w:hAnsi="Calibri"/>
                <w:highlight w:val="none"/>
                <w:shd w:val="clear" w:color="auto" w:fill="FFFFFF"/>
              </w:rPr>
              <w:t>1</w:t>
            </w:r>
          </w:p>
        </w:tc>
        <w:tc>
          <w:tcPr>
            <w:tcW w:w="1320" w:type="dxa"/>
            <w:tcBorders>
              <w:top w:val="single" w:color="000000" w:sz="8" w:space="0"/>
              <w:left w:val="single" w:color="000000" w:sz="8" w:space="0"/>
              <w:bottom w:val="single" w:color="000000" w:sz="8" w:space="0"/>
              <w:right w:val="single" w:color="000000" w:sz="8" w:space="0"/>
            </w:tcBorders>
            <w:vAlign w:val="bottom"/>
          </w:tcPr>
          <w:p>
            <w:pPr>
              <w:pStyle w:val="23"/>
              <w:wordWrap w:val="0"/>
              <w:rPr>
                <w:highlight w:val="none"/>
                <w:shd w:val="clear" w:color="auto" w:fill="FFFFFF"/>
              </w:rPr>
            </w:pPr>
            <w:r>
              <w:rPr>
                <w:highlight w:val="none"/>
                <w:shd w:val="clear" w:color="auto" w:fill="FFFFFF"/>
              </w:rPr>
              <w:t>托管账户</w:t>
            </w:r>
          </w:p>
        </w:tc>
        <w:tc>
          <w:tcPr>
            <w:tcW w:w="2390"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0120020000000407</w:t>
            </w:r>
          </w:p>
        </w:tc>
        <w:tc>
          <w:tcPr>
            <w:tcW w:w="3463"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南京银行优稳日申季赎</w:t>
            </w:r>
          </w:p>
        </w:tc>
        <w:tc>
          <w:tcPr>
            <w:tcW w:w="1321"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highlight w:val="none"/>
                <w:shd w:val="clear" w:color="auto" w:fill="FFFFFF"/>
              </w:rPr>
              <w:t>南京银行</w:t>
            </w:r>
          </w:p>
        </w:tc>
      </w:tr>
    </w:tbl>
    <w:p>
      <w:pPr>
        <w:widowControl/>
        <w:jc w:val="left"/>
        <w:rPr>
          <w:rFonts w:ascii="宋体" w:hAnsi="宋体" w:cs="宋体"/>
          <w:color w:val="000000"/>
          <w:kern w:val="0"/>
          <w:sz w:val="24"/>
          <w:szCs w:val="24"/>
        </w:rPr>
      </w:pPr>
    </w:p>
    <w:p>
      <w:pPr>
        <w:pStyle w:val="26"/>
        <w:rPr>
          <w:color w:val="000000"/>
          <w:highlight w:val="none"/>
        </w:rPr>
      </w:pPr>
      <w:r>
        <w:rPr>
          <w:rFonts w:hint="eastAsia"/>
          <w:b/>
          <w:bCs/>
          <w:color w:val="000000"/>
          <w:highlight w:val="none"/>
        </w:rPr>
        <w:t>§7 关联交易情况</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报告期内，</w:t>
      </w:r>
      <w:r>
        <w:rPr>
          <w:rFonts w:hint="eastAsia" w:ascii="宋体" w:hAnsi="宋体" w:eastAsia="宋体" w:cs="宋体"/>
          <w:color w:val="000000"/>
          <w:kern w:val="0"/>
          <w:sz w:val="24"/>
          <w:szCs w:val="24"/>
          <w:highlight w:val="none"/>
        </w:rPr>
        <w:t>产品投资于关联方发行的证券0.00元。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产品投资于关联方作为融资人的非标准化债权类资产业务交易金额0.00元。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产品投资于关联方承销的证券交易金额40</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004</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493.15元。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产品与关联方作为交易对手开展的投融资业务交易金额0.00元。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产品投资关联方作为管理人的资产管理产品交易金额0.00元。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产品支付关联方托管费50</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608.26元，支付关联方代销费0.00元。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产品发生其他关联交易金额0.00元。</w:t>
      </w:r>
    </w:p>
    <w:p>
      <w:pPr>
        <w:spacing w:before="240" w:after="72" w:afterLines="30" w:line="360" w:lineRule="auto"/>
        <w:ind w:firstLine="480" w:firstLineChars="200"/>
        <w:rPr>
          <w:rFonts w:ascii="宋体" w:hAnsi="宋体" w:cs="宋体"/>
          <w:color w:val="000000"/>
          <w:kern w:val="0"/>
          <w:sz w:val="24"/>
          <w:szCs w:val="24"/>
        </w:rPr>
      </w:pPr>
      <w:r>
        <w:rPr>
          <w:rFonts w:hint="eastAsia" w:ascii="宋体" w:hAnsi="宋体" w:eastAsia="宋体" w:cs="宋体"/>
          <w:sz w:val="24"/>
          <w:szCs w:val="24"/>
          <w:highlight w:val="none"/>
        </w:rPr>
        <w:t>报告期内，产品未发生重大关联交易。</w:t>
      </w:r>
      <w:bookmarkStart w:id="4" w:name="_GoBack"/>
      <w:bookmarkEnd w:id="4"/>
    </w:p>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widowControl/>
        <w:jc w:val="left"/>
        <w:rPr>
          <w:color w:val="000000"/>
        </w:rPr>
      </w:pPr>
    </w:p>
    <w:p>
      <w:pPr>
        <w:pStyle w:val="22"/>
      </w:pPr>
      <w:r>
        <w:rPr>
          <w:rFonts w:hint="eastAsia" w:hAnsi="Calibri"/>
          <w:b/>
          <w:color w:val="000000"/>
        </w:rPr>
        <w:t>南银理财有限责任公司</w:t>
      </w:r>
    </w:p>
    <w:p>
      <w:pPr>
        <w:pStyle w:val="22"/>
      </w:pPr>
      <w:r>
        <w:t>2024年9月30日</w:t>
      </w:r>
    </w:p>
    <w:p>
      <w:pPr>
        <w:pStyle w:val="22"/>
        <w:rPr>
          <w:color w:val="000000"/>
        </w:rPr>
      </w:pPr>
    </w:p>
    <w:sectPr>
      <w:footerReference r:id="rId3"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2JiMDQxYjQzM2Y3NDYwMDE1YWU0ODJjZmU2YmYyYTkifQ=="/>
  </w:docVars>
  <w:rsids>
    <w:rsidRoot w:val="00172A27"/>
    <w:rsid w:val="000060E5"/>
    <w:rsid w:val="000234FF"/>
    <w:rsid w:val="00034FF6"/>
    <w:rsid w:val="00044BFF"/>
    <w:rsid w:val="0005474A"/>
    <w:rsid w:val="00061725"/>
    <w:rsid w:val="00071383"/>
    <w:rsid w:val="00072EF3"/>
    <w:rsid w:val="000A3711"/>
    <w:rsid w:val="000D5066"/>
    <w:rsid w:val="000F6191"/>
    <w:rsid w:val="0011127C"/>
    <w:rsid w:val="00130CE8"/>
    <w:rsid w:val="00152201"/>
    <w:rsid w:val="00172A27"/>
    <w:rsid w:val="00176636"/>
    <w:rsid w:val="00183C84"/>
    <w:rsid w:val="001A1A7B"/>
    <w:rsid w:val="001C05F9"/>
    <w:rsid w:val="001C5395"/>
    <w:rsid w:val="001E7CD5"/>
    <w:rsid w:val="00211F26"/>
    <w:rsid w:val="002263FC"/>
    <w:rsid w:val="00244076"/>
    <w:rsid w:val="002A3AE9"/>
    <w:rsid w:val="002C196E"/>
    <w:rsid w:val="002D60EC"/>
    <w:rsid w:val="002D75D0"/>
    <w:rsid w:val="002E795C"/>
    <w:rsid w:val="002F0305"/>
    <w:rsid w:val="00305714"/>
    <w:rsid w:val="00313E71"/>
    <w:rsid w:val="00321CB7"/>
    <w:rsid w:val="003379A9"/>
    <w:rsid w:val="00350ADF"/>
    <w:rsid w:val="00355623"/>
    <w:rsid w:val="003A0419"/>
    <w:rsid w:val="003C3F0F"/>
    <w:rsid w:val="003C4D3B"/>
    <w:rsid w:val="003E09EA"/>
    <w:rsid w:val="003F0AC3"/>
    <w:rsid w:val="004241B6"/>
    <w:rsid w:val="00435214"/>
    <w:rsid w:val="00456251"/>
    <w:rsid w:val="004955DF"/>
    <w:rsid w:val="004A3370"/>
    <w:rsid w:val="004B31F3"/>
    <w:rsid w:val="004C1607"/>
    <w:rsid w:val="005069D8"/>
    <w:rsid w:val="0056162E"/>
    <w:rsid w:val="00563B93"/>
    <w:rsid w:val="00567DB3"/>
    <w:rsid w:val="005700DF"/>
    <w:rsid w:val="005B3434"/>
    <w:rsid w:val="005E2884"/>
    <w:rsid w:val="005E5050"/>
    <w:rsid w:val="005F2C7B"/>
    <w:rsid w:val="005F4D04"/>
    <w:rsid w:val="005F7DA9"/>
    <w:rsid w:val="006054F8"/>
    <w:rsid w:val="00613CAF"/>
    <w:rsid w:val="0065419A"/>
    <w:rsid w:val="00654220"/>
    <w:rsid w:val="00663B94"/>
    <w:rsid w:val="00663CD1"/>
    <w:rsid w:val="00677F66"/>
    <w:rsid w:val="006965C9"/>
    <w:rsid w:val="006C7F31"/>
    <w:rsid w:val="006E4E94"/>
    <w:rsid w:val="00723C78"/>
    <w:rsid w:val="00730BEE"/>
    <w:rsid w:val="0073101E"/>
    <w:rsid w:val="00735153"/>
    <w:rsid w:val="00745421"/>
    <w:rsid w:val="007517EC"/>
    <w:rsid w:val="00754122"/>
    <w:rsid w:val="007757D4"/>
    <w:rsid w:val="007A4219"/>
    <w:rsid w:val="007E17D2"/>
    <w:rsid w:val="007E3828"/>
    <w:rsid w:val="007E4F67"/>
    <w:rsid w:val="0080200C"/>
    <w:rsid w:val="00814110"/>
    <w:rsid w:val="00824EA7"/>
    <w:rsid w:val="0082561A"/>
    <w:rsid w:val="00846B2E"/>
    <w:rsid w:val="00853290"/>
    <w:rsid w:val="00855764"/>
    <w:rsid w:val="0085663C"/>
    <w:rsid w:val="0087446E"/>
    <w:rsid w:val="008768AB"/>
    <w:rsid w:val="008926F7"/>
    <w:rsid w:val="008A7510"/>
    <w:rsid w:val="008C78BD"/>
    <w:rsid w:val="008F0FA3"/>
    <w:rsid w:val="008F2C2F"/>
    <w:rsid w:val="00900D90"/>
    <w:rsid w:val="00922EA2"/>
    <w:rsid w:val="00930CE2"/>
    <w:rsid w:val="009354D6"/>
    <w:rsid w:val="00970A98"/>
    <w:rsid w:val="00972F73"/>
    <w:rsid w:val="009C781F"/>
    <w:rsid w:val="009D15E9"/>
    <w:rsid w:val="009D5296"/>
    <w:rsid w:val="009E6170"/>
    <w:rsid w:val="00A167EC"/>
    <w:rsid w:val="00A20062"/>
    <w:rsid w:val="00A36C36"/>
    <w:rsid w:val="00A37451"/>
    <w:rsid w:val="00A4484F"/>
    <w:rsid w:val="00A76D4B"/>
    <w:rsid w:val="00A77C47"/>
    <w:rsid w:val="00A9119C"/>
    <w:rsid w:val="00AA4549"/>
    <w:rsid w:val="00AA6956"/>
    <w:rsid w:val="00AC5144"/>
    <w:rsid w:val="00AD3379"/>
    <w:rsid w:val="00B13014"/>
    <w:rsid w:val="00B17559"/>
    <w:rsid w:val="00B33B19"/>
    <w:rsid w:val="00B404E6"/>
    <w:rsid w:val="00B4360D"/>
    <w:rsid w:val="00B61EA9"/>
    <w:rsid w:val="00B670D1"/>
    <w:rsid w:val="00B74DCA"/>
    <w:rsid w:val="00B7560D"/>
    <w:rsid w:val="00BC02E0"/>
    <w:rsid w:val="00BC3903"/>
    <w:rsid w:val="00BE47E0"/>
    <w:rsid w:val="00BF75C8"/>
    <w:rsid w:val="00C1762E"/>
    <w:rsid w:val="00C25123"/>
    <w:rsid w:val="00C30A48"/>
    <w:rsid w:val="00C375A7"/>
    <w:rsid w:val="00C62DF8"/>
    <w:rsid w:val="00C640FB"/>
    <w:rsid w:val="00C75DB0"/>
    <w:rsid w:val="00C9528E"/>
    <w:rsid w:val="00CA39FE"/>
    <w:rsid w:val="00CA64BD"/>
    <w:rsid w:val="00CB054E"/>
    <w:rsid w:val="00CC52D7"/>
    <w:rsid w:val="00D23AB6"/>
    <w:rsid w:val="00D50309"/>
    <w:rsid w:val="00D51AA9"/>
    <w:rsid w:val="00D66E51"/>
    <w:rsid w:val="00D7264A"/>
    <w:rsid w:val="00D84E43"/>
    <w:rsid w:val="00D870DF"/>
    <w:rsid w:val="00DB0C2F"/>
    <w:rsid w:val="00DB3BF6"/>
    <w:rsid w:val="00DC31CC"/>
    <w:rsid w:val="00DC728A"/>
    <w:rsid w:val="00DD2F3C"/>
    <w:rsid w:val="00DF507E"/>
    <w:rsid w:val="00E05CC8"/>
    <w:rsid w:val="00E06509"/>
    <w:rsid w:val="00E1059D"/>
    <w:rsid w:val="00E155DF"/>
    <w:rsid w:val="00E246E1"/>
    <w:rsid w:val="00E560F1"/>
    <w:rsid w:val="00E673C8"/>
    <w:rsid w:val="00E90EBD"/>
    <w:rsid w:val="00E944FA"/>
    <w:rsid w:val="00E9797A"/>
    <w:rsid w:val="00EA7ABC"/>
    <w:rsid w:val="00EE0436"/>
    <w:rsid w:val="00EF4D1D"/>
    <w:rsid w:val="00F1465C"/>
    <w:rsid w:val="00F41324"/>
    <w:rsid w:val="00F57C12"/>
    <w:rsid w:val="00F609FD"/>
    <w:rsid w:val="00F7771A"/>
    <w:rsid w:val="00F859AB"/>
    <w:rsid w:val="00F91E6C"/>
    <w:rsid w:val="00F950D0"/>
    <w:rsid w:val="00FA0246"/>
    <w:rsid w:val="00FA2C26"/>
    <w:rsid w:val="030F2BA7"/>
    <w:rsid w:val="04240CEE"/>
    <w:rsid w:val="065551D3"/>
    <w:rsid w:val="06C37561"/>
    <w:rsid w:val="0A236A5A"/>
    <w:rsid w:val="0BA075C8"/>
    <w:rsid w:val="0CAB045E"/>
    <w:rsid w:val="10C60AB9"/>
    <w:rsid w:val="111D4539"/>
    <w:rsid w:val="13297F9C"/>
    <w:rsid w:val="134727C6"/>
    <w:rsid w:val="141A5102"/>
    <w:rsid w:val="15FE575C"/>
    <w:rsid w:val="177920C8"/>
    <w:rsid w:val="18EC47C1"/>
    <w:rsid w:val="1AB73E2C"/>
    <w:rsid w:val="1ADC05C7"/>
    <w:rsid w:val="1DB35470"/>
    <w:rsid w:val="1E911FB2"/>
    <w:rsid w:val="1F274305"/>
    <w:rsid w:val="1FF04855"/>
    <w:rsid w:val="20F325AF"/>
    <w:rsid w:val="216F6F5C"/>
    <w:rsid w:val="21F435F3"/>
    <w:rsid w:val="22E23E75"/>
    <w:rsid w:val="24914F4C"/>
    <w:rsid w:val="2555668E"/>
    <w:rsid w:val="25AF3A81"/>
    <w:rsid w:val="25B229C2"/>
    <w:rsid w:val="26FD4196"/>
    <w:rsid w:val="28CD1EA7"/>
    <w:rsid w:val="2945121F"/>
    <w:rsid w:val="2986009C"/>
    <w:rsid w:val="29F7636C"/>
    <w:rsid w:val="32955A2A"/>
    <w:rsid w:val="350229F7"/>
    <w:rsid w:val="36341C31"/>
    <w:rsid w:val="368076E6"/>
    <w:rsid w:val="378F5AE0"/>
    <w:rsid w:val="37F709A6"/>
    <w:rsid w:val="39E872E9"/>
    <w:rsid w:val="39FF2E40"/>
    <w:rsid w:val="3ABE1FB8"/>
    <w:rsid w:val="3C753CC7"/>
    <w:rsid w:val="3DE8684F"/>
    <w:rsid w:val="3F2C3B54"/>
    <w:rsid w:val="40990310"/>
    <w:rsid w:val="42115749"/>
    <w:rsid w:val="44F30C78"/>
    <w:rsid w:val="459870AF"/>
    <w:rsid w:val="45ED49CE"/>
    <w:rsid w:val="46F0109E"/>
    <w:rsid w:val="47475A63"/>
    <w:rsid w:val="4A7E62DE"/>
    <w:rsid w:val="4BCA232B"/>
    <w:rsid w:val="4E0C0A0E"/>
    <w:rsid w:val="4E276A76"/>
    <w:rsid w:val="506954C1"/>
    <w:rsid w:val="509017BA"/>
    <w:rsid w:val="51482FC3"/>
    <w:rsid w:val="52830253"/>
    <w:rsid w:val="541C469D"/>
    <w:rsid w:val="5617604A"/>
    <w:rsid w:val="5B211C52"/>
    <w:rsid w:val="5BE61B5E"/>
    <w:rsid w:val="5CA05A23"/>
    <w:rsid w:val="5EC71EB3"/>
    <w:rsid w:val="602D020F"/>
    <w:rsid w:val="60EA4BD2"/>
    <w:rsid w:val="62BD595C"/>
    <w:rsid w:val="64265470"/>
    <w:rsid w:val="66F47EBC"/>
    <w:rsid w:val="681903E9"/>
    <w:rsid w:val="68823415"/>
    <w:rsid w:val="6898111C"/>
    <w:rsid w:val="68A21F24"/>
    <w:rsid w:val="6A485270"/>
    <w:rsid w:val="6A970E7E"/>
    <w:rsid w:val="6D05415D"/>
    <w:rsid w:val="6F66394D"/>
    <w:rsid w:val="73193673"/>
    <w:rsid w:val="742938C1"/>
    <w:rsid w:val="74543F24"/>
    <w:rsid w:val="74BE328D"/>
    <w:rsid w:val="77B45190"/>
    <w:rsid w:val="7AF64935"/>
    <w:rsid w:val="7E72470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unhideWhenUsed/>
    <w:qFormat/>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6"/>
    <w:unhideWhenUsed/>
    <w:qFormat/>
    <w:uiPriority w:val="99"/>
    <w:rPr>
      <w:b/>
      <w:bCs/>
    </w:rPr>
  </w:style>
  <w:style w:type="paragraph" w:styleId="3">
    <w:name w:val="annotation text"/>
    <w:basedOn w:val="1"/>
    <w:link w:val="18"/>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unhideWhenUsed/>
    <w:qFormat/>
    <w:uiPriority w:val="99"/>
    <w:pPr>
      <w:snapToGrid w:val="0"/>
      <w:jc w:val="left"/>
    </w:pPr>
    <w:rPr>
      <w:sz w:val="18"/>
    </w:rPr>
  </w:style>
  <w:style w:type="paragraph" w:styleId="8">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10">
    <w:name w:val="page number"/>
    <w:basedOn w:val="9"/>
    <w:unhideWhenUsed/>
    <w:qFormat/>
    <w:uiPriority w:val="99"/>
  </w:style>
  <w:style w:type="character" w:styleId="11">
    <w:name w:val="annotation reference"/>
    <w:unhideWhenUsed/>
    <w:qFormat/>
    <w:uiPriority w:val="99"/>
    <w:rPr>
      <w:sz w:val="21"/>
      <w:szCs w:val="21"/>
    </w:rPr>
  </w:style>
  <w:style w:type="character" w:styleId="12">
    <w:name w:val="footnote reference"/>
    <w:unhideWhenUsed/>
    <w:qFormat/>
    <w:uiPriority w:val="99"/>
    <w:rPr>
      <w:vertAlign w:val="superscript"/>
    </w:rPr>
  </w:style>
  <w:style w:type="character" w:customStyle="1" w:styleId="14">
    <w:name w:val="批注框文本 Char"/>
    <w:link w:val="4"/>
    <w:semiHidden/>
    <w:qFormat/>
    <w:uiPriority w:val="99"/>
    <w:rPr>
      <w:kern w:val="2"/>
      <w:sz w:val="18"/>
      <w:szCs w:val="18"/>
    </w:rPr>
  </w:style>
  <w:style w:type="character" w:customStyle="1" w:styleId="15">
    <w:name w:val="页眉 Char"/>
    <w:link w:val="6"/>
    <w:semiHidden/>
    <w:qFormat/>
    <w:locked/>
    <w:uiPriority w:val="99"/>
    <w:rPr>
      <w:rFonts w:hint="default" w:ascii="Times New Roman" w:hAnsi="Times New Roman" w:cs="Times New Roman"/>
      <w:sz w:val="18"/>
      <w:szCs w:val="18"/>
    </w:rPr>
  </w:style>
  <w:style w:type="character" w:customStyle="1" w:styleId="16">
    <w:name w:val="批注主题 Char"/>
    <w:link w:val="2"/>
    <w:semiHidden/>
    <w:qFormat/>
    <w:uiPriority w:val="99"/>
    <w:rPr>
      <w:b/>
      <w:bCs/>
      <w:kern w:val="2"/>
      <w:sz w:val="21"/>
      <w:szCs w:val="22"/>
    </w:rPr>
  </w:style>
  <w:style w:type="character" w:customStyle="1" w:styleId="17">
    <w:name w:val="页脚 Char"/>
    <w:link w:val="5"/>
    <w:semiHidden/>
    <w:qFormat/>
    <w:locked/>
    <w:uiPriority w:val="99"/>
    <w:rPr>
      <w:rFonts w:hint="default" w:ascii="Times New Roman" w:hAnsi="Times New Roman" w:cs="Times New Roman"/>
      <w:sz w:val="18"/>
      <w:szCs w:val="18"/>
    </w:rPr>
  </w:style>
  <w:style w:type="character" w:customStyle="1" w:styleId="18">
    <w:name w:val="批注文字 Char"/>
    <w:link w:val="3"/>
    <w:qFormat/>
    <w:uiPriority w:val="99"/>
    <w:rPr>
      <w:kern w:val="2"/>
      <w:sz w:val="21"/>
      <w:szCs w:val="22"/>
    </w:rPr>
  </w:style>
  <w:style w:type="paragraph" w:customStyle="1" w:styleId="19">
    <w:name w:val="zhongyaotishi"/>
    <w:basedOn w:val="1"/>
    <w:qFormat/>
    <w:uiPriority w:val="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20">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21">
    <w:name w:val="biaoge_right1"/>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22">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23">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24">
    <w:name w:val="msonormalfy"/>
    <w:qFormat/>
    <w:uiPriority w:val="0"/>
    <w:pPr>
      <w:widowControl w:val="0"/>
      <w:jc w:val="center"/>
    </w:pPr>
    <w:rPr>
      <w:rFonts w:ascii="Times New Roman" w:hAnsi="Times New Roman" w:eastAsia="宋体" w:cs="Times New Roman"/>
      <w:kern w:val="2"/>
      <w:sz w:val="33"/>
      <w:szCs w:val="22"/>
      <w:lang w:val="en-US" w:eastAsia="zh-CN" w:bidi="ar-SA"/>
    </w:rPr>
  </w:style>
  <w:style w:type="paragraph" w:customStyle="1" w:styleId="25">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26">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27">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28">
    <w:name w:val="hide"/>
    <w:basedOn w:val="1"/>
    <w:qFormat/>
    <w:uiPriority w:val="0"/>
    <w:pPr>
      <w:widowControl/>
      <w:spacing w:before="100" w:beforeAutospacing="1" w:after="100" w:afterAutospacing="1"/>
      <w:jc w:val="left"/>
    </w:pPr>
    <w:rPr>
      <w:rFonts w:ascii="宋体" w:hAnsi="宋体" w:cs="宋体"/>
      <w:vanish/>
      <w:kern w:val="0"/>
      <w:sz w:val="24"/>
      <w:szCs w:val="24"/>
    </w:rPr>
  </w:style>
  <w:style w:type="paragraph" w:customStyle="1" w:styleId="29">
    <w:name w:val="show"/>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0">
    <w:name w:val="msonormal_none"/>
    <w:qFormat/>
    <w:uiPriority w:val="0"/>
    <w:pPr>
      <w:widowControl w:val="0"/>
    </w:pPr>
    <w:rPr>
      <w:rFonts w:ascii="Times New Roman" w:hAnsi="Times New Roman" w:eastAsia="宋体" w:cs="Times New Roman"/>
      <w:kern w:val="2"/>
      <w:sz w:val="21"/>
      <w:szCs w:val="22"/>
      <w:lang w:val="en-US" w:eastAsia="zh-CN" w:bidi="ar-SA"/>
    </w:rPr>
  </w:style>
  <w:style w:type="paragraph" w:customStyle="1" w:styleId="31">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character" w:customStyle="1" w:styleId="32">
    <w:name w:val="show1"/>
    <w:basedOn w:val="9"/>
    <w:qFormat/>
    <w:uiPriority w:val="0"/>
  </w:style>
  <w:style w:type="paragraph" w:customStyle="1" w:styleId="33">
    <w:name w:val="dqbgbnwz"/>
    <w:basedOn w:val="1"/>
    <w:qFormat/>
    <w:uiPriority w:val="0"/>
    <w:pPr>
      <w:widowControl/>
      <w:spacing w:line="288" w:lineRule="auto"/>
      <w:jc w:val="center"/>
    </w:pPr>
    <w:rPr>
      <w:rFonts w:eastAsia="黑体" w:cs="宋体"/>
      <w:kern w:val="0"/>
      <w:sz w:val="22"/>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3438</Words>
  <Characters>4748</Characters>
  <Lines>38</Lines>
  <Paragraphs>10</Paragraphs>
  <TotalTime>0</TotalTime>
  <ScaleCrop>false</ScaleCrop>
  <LinksUpToDate>false</LinksUpToDate>
  <CharactersWithSpaces>4859</CharactersWithSpaces>
  <Application>WPS Office_10.8.0.6157_F1E327BC-269C-435d-A152-05C5408002CA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2020-12-16T03:30:00Z</dcterms:created>
  <dc:creator>总行金融市场部本币投资交易部梅浩超</dc:creator>
  <cp:lastModifiedBy>陈相莉</cp:lastModifiedBy>
  <cp:lastPrinted>2019-09-11T00:56:00Z</cp:lastPrinted>
  <dcterms:modified xsi:type="dcterms:W3CDTF">2024-09-29T06:35:23Z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57E81B26FBEE41C5A92003DFA71546A5_12</vt:lpwstr>
  </property>
</Properties>
</file>