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26"/>
        <w:spacing w:before="240" w:after="120"/>
        <w:rPr>
          <w:rFonts w:ascii="黑体" w:eastAsia="黑体"/>
          <w:b/>
          <w:bCs/>
          <w:color w:val="000000"/>
          <w:sz w:val="36"/>
        </w:rPr>
      </w:pPr>
      <w:r>
        <w:rPr>
          <w:rFonts w:hint="eastAsia" w:ascii="黑体" w:hAnsi="黑体" w:eastAsia="黑体"/>
          <w:b/>
          <w:bCs/>
          <w:sz w:val="36"/>
        </w:rPr>
        <w:t>南银理财珠联璧合财富牛4号开放式公募人民币理财产品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南银理财珠联璧合财富牛4号开放式公募人民币理财产品</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rPr>
                <w:rFonts w:hint="eastAsia"/>
              </w:rPr>
              <w:t>Z7003220000014（投资者可依据该编码在中国理财网www.chinawealth.com.cn查询理财产品相关信息）</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2020年09月16日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highlight w:val="yellow"/>
              </w:rPr>
            </w:pPr>
            <w:r>
              <w:t>3,805,679,112.31份</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100.05%</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华夏基金管理有限公司、中欧基金管理有限公司、万家基金管理有限公司、南方基金管理股份有限公司、富国基金管理有限公司、兴证全球基金管理有限公司、鹏华基金管理有限公司、广发基金管理有限公司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主要财务指标和产品净值表现</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5"/>
        <w:gridCol w:w="2580"/>
        <w:gridCol w:w="2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4135" w:type="dxa"/>
            <w:vMerge w:val="restart"/>
            <w:vAlign w:val="center"/>
          </w:tcPr>
          <w:p>
            <w:pPr>
              <w:pStyle w:val="8"/>
              <w:wordWrap w:val="0"/>
              <w:jc w:val="center"/>
              <w:rPr>
                <w:b/>
                <w:bCs/>
                <w:color w:val="000000"/>
              </w:rPr>
            </w:pPr>
            <w:r>
              <w:rPr>
                <w:rFonts w:hint="eastAsia"/>
                <w:b/>
                <w:bCs/>
                <w:color w:val="000000"/>
              </w:rPr>
              <w:t>主要财务指标</w:t>
            </w:r>
          </w:p>
        </w:tc>
        <w:tc>
          <w:tcPr>
            <w:tcW w:w="5187" w:type="dxa"/>
            <w:gridSpan w:val="2"/>
          </w:tcPr>
          <w:p>
            <w:pPr>
              <w:pStyle w:val="20"/>
              <w:jc w:val="center"/>
              <w:rPr>
                <w:b/>
                <w:bCs/>
                <w:color w:val="000000"/>
              </w:rPr>
            </w:pPr>
            <w:r>
              <w:t>报告期（2020年09月16日- 2020年12月31日）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 w:hRule="atLeast"/>
        </w:trPr>
        <w:tc>
          <w:tcPr>
            <w:tcW w:w="4135" w:type="dxa"/>
            <w:vMerge w:val="continue"/>
            <w:vAlign w:val="center"/>
          </w:tcPr>
          <w:p>
            <w:pPr>
              <w:pStyle w:val="8"/>
              <w:wordWrap w:val="0"/>
              <w:jc w:val="center"/>
              <w:rPr>
                <w:b/>
                <w:bCs/>
                <w:color w:val="000000"/>
              </w:rPr>
            </w:pPr>
          </w:p>
        </w:tc>
        <w:tc>
          <w:tcPr>
            <w:tcW w:w="2580" w:type="dxa"/>
          </w:tcPr>
          <w:p>
            <w:pPr>
              <w:pStyle w:val="20"/>
              <w:jc w:val="center"/>
            </w:pPr>
            <w:r>
              <w:t>Z70001</w:t>
            </w:r>
          </w:p>
        </w:tc>
        <w:tc>
          <w:tcPr>
            <w:tcW w:w="2607" w:type="dxa"/>
          </w:tcPr>
          <w:p>
            <w:pPr>
              <w:pStyle w:val="20"/>
              <w:jc w:val="center"/>
            </w:pPr>
            <w:r>
              <w:t>Z70002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35" w:type="dxa"/>
            <w:vAlign w:val="center"/>
          </w:tcPr>
          <w:p>
            <w:pPr>
              <w:pStyle w:val="8"/>
              <w:rPr>
                <w:b/>
                <w:bCs/>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2580" w:type="dxa"/>
            <w:vAlign w:val="center"/>
          </w:tcPr>
          <w:p>
            <w:pPr>
              <w:pStyle w:val="22"/>
              <w:wordWrap w:val="0"/>
              <w:jc w:val="center"/>
            </w:pPr>
            <w:r>
              <w:rPr>
                <w:rFonts w:hint="eastAsia" w:hAnsi="Calibri"/>
                <w:color w:val="000000"/>
              </w:rPr>
              <w:t>2,330,042,191.60</w:t>
            </w:r>
          </w:p>
        </w:tc>
        <w:tc>
          <w:tcPr>
            <w:tcW w:w="2607" w:type="dxa"/>
            <w:vAlign w:val="center"/>
          </w:tcPr>
          <w:p>
            <w:pPr>
              <w:pStyle w:val="22"/>
              <w:wordWrap w:val="0"/>
              <w:jc w:val="center"/>
            </w:pPr>
            <w:r>
              <w:rPr>
                <w:rFonts w:hint="eastAsia" w:hAnsi="Calibri"/>
                <w:color w:val="000000"/>
              </w:rPr>
              <w:t>1,550,194,398.13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35" w:type="dxa"/>
            <w:vAlign w:val="center"/>
          </w:tcPr>
          <w:p>
            <w:pPr>
              <w:pStyle w:val="8"/>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2580" w:type="dxa"/>
            <w:vAlign w:val="center"/>
          </w:tcPr>
          <w:p>
            <w:pPr>
              <w:pStyle w:val="22"/>
              <w:wordWrap w:val="0"/>
              <w:jc w:val="center"/>
            </w:pPr>
            <w:r>
              <w:rPr>
                <w:rFonts w:hint="eastAsia" w:hAnsi="Calibri"/>
                <w:color w:val="000000"/>
              </w:rPr>
              <w:t>1.0202</w:t>
            </w:r>
          </w:p>
        </w:tc>
        <w:tc>
          <w:tcPr>
            <w:tcW w:w="2607" w:type="dxa"/>
            <w:vAlign w:val="center"/>
          </w:tcPr>
          <w:p>
            <w:pPr>
              <w:pStyle w:val="22"/>
              <w:wordWrap w:val="0"/>
              <w:jc w:val="center"/>
            </w:pPr>
            <w:r>
              <w:rPr>
                <w:rFonts w:hint="eastAsia" w:hAnsi="Calibri"/>
                <w:color w:val="000000"/>
              </w:rPr>
              <w:t>1.0187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35" w:type="dxa"/>
            <w:vAlign w:val="center"/>
          </w:tcPr>
          <w:p>
            <w:pPr>
              <w:pStyle w:val="8"/>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2580" w:type="dxa"/>
            <w:vAlign w:val="center"/>
          </w:tcPr>
          <w:p>
            <w:pPr>
              <w:pStyle w:val="22"/>
              <w:jc w:val="center"/>
              <w:rPr>
                <w:b/>
                <w:bCs/>
                <w:color w:val="000000"/>
                <w:highlight w:val="yellow"/>
              </w:rPr>
            </w:pPr>
            <w:r>
              <w:rPr>
                <w:color w:val="000000"/>
              </w:rPr>
              <w:t>1.0202</w:t>
            </w:r>
          </w:p>
        </w:tc>
        <w:tc>
          <w:tcPr>
            <w:tcW w:w="2607" w:type="dxa"/>
            <w:vAlign w:val="center"/>
          </w:tcPr>
          <w:p>
            <w:pPr>
              <w:pStyle w:val="22"/>
              <w:jc w:val="center"/>
              <w:rPr>
                <w:bCs/>
                <w:color w:val="000000"/>
                <w:highlight w:val="yellow"/>
              </w:rPr>
            </w:pPr>
            <w:r>
              <w:rPr>
                <w:bCs/>
                <w:color w:val="000000"/>
              </w:rPr>
              <w:t>1.0187</w:t>
            </w:r>
          </w:p>
        </w:tc>
      </w:tr>
    </w:tbl>
    <w:p>
      <w:pPr>
        <w:pStyle w:val="20"/>
        <w:ind w:left="0"/>
        <w:rPr>
          <w:b/>
          <w:bCs/>
          <w:color w:val="000000"/>
        </w:rPr>
      </w:pPr>
    </w:p>
    <w:p>
      <w:pPr>
        <w:pStyle w:val="20"/>
        <w:rPr>
          <w:color w:val="000000"/>
        </w:rPr>
      </w:pPr>
      <w:r>
        <w:rPr>
          <w:rFonts w:hint="eastAsia"/>
          <w:b/>
          <w:bCs/>
          <w:color w:val="000000"/>
        </w:rPr>
        <w:t>2.2 产品净值表现</w:t>
      </w:r>
    </w:p>
    <w:p>
      <w:pPr>
        <w:pStyle w:val="27"/>
        <w:rPr>
          <w:color w:val="000000"/>
        </w:rPr>
      </w:pPr>
      <w:r>
        <w:rPr>
          <w:rFonts w:hint="eastAsia"/>
          <w:b/>
          <w:bCs/>
          <w:color w:val="000000"/>
        </w:rPr>
        <w:t>2.2.1 本报告期产品净值收益率及其与同期业绩比较基准收益率的比较</w:t>
      </w:r>
    </w:p>
    <w:tbl>
      <w:tblPr>
        <w:tblStyle w:val="13"/>
        <w:tblW w:w="9214" w:type="dxa"/>
        <w:tblInd w:w="108" w:type="dxa"/>
        <w:tblLayout w:type="fixed"/>
        <w:tblCellMar>
          <w:top w:w="0" w:type="dxa"/>
          <w:left w:w="108" w:type="dxa"/>
          <w:bottom w:w="0" w:type="dxa"/>
          <w:right w:w="108" w:type="dxa"/>
        </w:tblCellMar>
      </w:tblPr>
      <w:tblGrid>
        <w:gridCol w:w="3969"/>
        <w:gridCol w:w="2127"/>
        <w:gridCol w:w="3118"/>
      </w:tblGrid>
      <w:tr>
        <w:tblPrEx>
          <w:tblLayout w:type="fixed"/>
          <w:tblCellMar>
            <w:top w:w="0" w:type="dxa"/>
            <w:left w:w="108" w:type="dxa"/>
            <w:bottom w:w="0" w:type="dxa"/>
            <w:right w:w="108" w:type="dxa"/>
          </w:tblCellMar>
        </w:tblPrEx>
        <w:trPr>
          <w:trHeight w:val="180" w:hRule="atLeast"/>
        </w:trPr>
        <w:tc>
          <w:tcPr>
            <w:tcW w:w="3969" w:type="dxa"/>
            <w:vMerge w:val="restart"/>
            <w:tcBorders>
              <w:top w:val="single" w:color="000000" w:sz="8" w:space="0"/>
              <w:left w:val="single" w:color="000000" w:sz="8" w:space="0"/>
              <w:right w:val="single" w:color="000000" w:sz="8" w:space="0"/>
            </w:tcBorders>
            <w:vAlign w:val="center"/>
          </w:tcPr>
          <w:p>
            <w:pPr>
              <w:pStyle w:val="23"/>
              <w:wordWrap w:val="0"/>
              <w:rPr>
                <w:color w:val="000000"/>
              </w:rPr>
            </w:pPr>
            <w:r>
              <w:rPr>
                <w:rFonts w:hint="eastAsia" w:hAnsi="Calibri"/>
                <w:color w:val="000000"/>
              </w:rPr>
              <w:t>阶段</w:t>
            </w:r>
          </w:p>
        </w:tc>
        <w:tc>
          <w:tcPr>
            <w:tcW w:w="5245" w:type="dxa"/>
            <w:gridSpan w:val="2"/>
            <w:tcBorders>
              <w:top w:val="single" w:color="000000" w:sz="8" w:space="0"/>
              <w:left w:val="single" w:color="000000" w:sz="8" w:space="0"/>
              <w:bottom w:val="single" w:color="auto" w:sz="4" w:space="0"/>
              <w:right w:val="single" w:color="000000" w:sz="8" w:space="0"/>
            </w:tcBorders>
          </w:tcPr>
          <w:p>
            <w:pPr>
              <w:pStyle w:val="20"/>
              <w:jc w:val="center"/>
            </w:pPr>
            <w:r>
              <w:t>Z70001</w:t>
            </w:r>
          </w:p>
        </w:tc>
      </w:tr>
      <w:tr>
        <w:tblPrEx>
          <w:tblLayout w:type="fixed"/>
          <w:tblCellMar>
            <w:top w:w="0" w:type="dxa"/>
            <w:left w:w="108" w:type="dxa"/>
            <w:bottom w:w="0" w:type="dxa"/>
            <w:right w:w="108" w:type="dxa"/>
          </w:tblCellMar>
        </w:tblPrEx>
        <w:trPr>
          <w:trHeight w:val="225" w:hRule="atLeast"/>
        </w:trPr>
        <w:tc>
          <w:tcPr>
            <w:tcW w:w="3969" w:type="dxa"/>
            <w:vMerge w:val="continue"/>
            <w:tcBorders>
              <w:left w:val="single" w:color="000000" w:sz="8" w:space="0"/>
              <w:bottom w:val="single" w:color="000000" w:sz="6" w:space="0"/>
              <w:right w:val="single" w:color="000000" w:sz="8" w:space="0"/>
            </w:tcBorders>
            <w:vAlign w:val="center"/>
          </w:tcPr>
          <w:p>
            <w:pPr>
              <w:pStyle w:val="23"/>
              <w:wordWrap w:val="0"/>
              <w:rPr>
                <w:rFonts w:hAnsi="Calibri"/>
                <w:color w:val="000000"/>
              </w:rPr>
            </w:pPr>
          </w:p>
        </w:tc>
        <w:tc>
          <w:tcPr>
            <w:tcW w:w="2127" w:type="dxa"/>
            <w:tcBorders>
              <w:top w:val="single" w:color="auto" w:sz="4" w:space="0"/>
              <w:left w:val="single" w:color="000000" w:sz="8" w:space="0"/>
              <w:bottom w:val="single" w:color="000000" w:sz="6" w:space="0"/>
              <w:right w:val="single" w:color="auto" w:sz="4" w:space="0"/>
            </w:tcBorders>
            <w:vAlign w:val="center"/>
          </w:tcPr>
          <w:p>
            <w:pPr>
              <w:pStyle w:val="23"/>
              <w:wordWrap w:val="0"/>
              <w:rPr>
                <w:rFonts w:hAnsi="Calibri"/>
                <w:color w:val="000000"/>
              </w:rPr>
            </w:pPr>
            <w:r>
              <w:rPr>
                <w:rFonts w:hint="eastAsia" w:hAnsi="Calibri"/>
                <w:color w:val="000000"/>
              </w:rPr>
              <w:t>净值收益率</w:t>
            </w:r>
          </w:p>
        </w:tc>
        <w:tc>
          <w:tcPr>
            <w:tcW w:w="3118" w:type="dxa"/>
            <w:tcBorders>
              <w:top w:val="single" w:color="auto" w:sz="4" w:space="0"/>
              <w:left w:val="single" w:color="auto" w:sz="4" w:space="0"/>
              <w:bottom w:val="single" w:color="000000" w:sz="6" w:space="0"/>
              <w:right w:val="single" w:color="000000" w:sz="8" w:space="0"/>
            </w:tcBorders>
            <w:vAlign w:val="center"/>
          </w:tcPr>
          <w:p>
            <w:pPr>
              <w:pStyle w:val="23"/>
              <w:wordWrap w:val="0"/>
              <w:rPr>
                <w:rFonts w:hAnsi="Calibri"/>
                <w:color w:val="000000"/>
              </w:rPr>
            </w:pPr>
            <w:r>
              <w:rPr>
                <w:rFonts w:hint="eastAsia" w:hAnsi="Calibri"/>
                <w:color w:val="000000"/>
              </w:rPr>
              <w:t>业绩比较基准收益率</w:t>
            </w:r>
          </w:p>
        </w:tc>
      </w:tr>
      <w:tr>
        <w:tblPrEx>
          <w:tblLayout w:type="fixed"/>
          <w:tblCellMar>
            <w:top w:w="0" w:type="dxa"/>
            <w:left w:w="108" w:type="dxa"/>
            <w:bottom w:w="0" w:type="dxa"/>
            <w:right w:w="108" w:type="dxa"/>
          </w:tblCellMar>
        </w:tblPrEx>
        <w:tc>
          <w:tcPr>
            <w:tcW w:w="3969"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2020年09月16日- 2020年12月31日</w:t>
            </w:r>
          </w:p>
        </w:tc>
        <w:tc>
          <w:tcPr>
            <w:tcW w:w="2127" w:type="dxa"/>
            <w:tcBorders>
              <w:top w:val="single" w:color="000000" w:sz="8" w:space="0"/>
              <w:left w:val="single" w:color="000000" w:sz="8" w:space="0"/>
              <w:bottom w:val="single" w:color="000000" w:sz="6" w:space="0"/>
              <w:right w:val="single" w:color="auto" w:sz="4" w:space="0"/>
            </w:tcBorders>
            <w:vAlign w:val="center"/>
          </w:tcPr>
          <w:p>
            <w:pPr>
              <w:pStyle w:val="22"/>
              <w:wordWrap w:val="0"/>
              <w:ind w:left="0"/>
              <w:rPr>
                <w:color w:val="000000"/>
              </w:rPr>
            </w:pPr>
            <w:r>
              <w:rPr>
                <w:rFonts w:hint="eastAsia"/>
                <w:color w:val="000000"/>
              </w:rPr>
              <w:t>6.89%</w:t>
            </w:r>
          </w:p>
        </w:tc>
        <w:tc>
          <w:tcPr>
            <w:tcW w:w="3118" w:type="dxa"/>
            <w:tcBorders>
              <w:top w:val="single" w:color="000000" w:sz="8" w:space="0"/>
              <w:left w:val="single" w:color="auto" w:sz="4" w:space="0"/>
              <w:bottom w:val="single" w:color="000000" w:sz="6" w:space="0"/>
              <w:right w:val="single" w:color="000000" w:sz="8" w:space="0"/>
            </w:tcBorders>
            <w:vAlign w:val="center"/>
          </w:tcPr>
          <w:p>
            <w:pPr>
              <w:pStyle w:val="22"/>
              <w:wordWrap w:val="0"/>
              <w:ind w:left="0"/>
              <w:rPr>
                <w:color w:val="000000"/>
              </w:rPr>
            </w:pPr>
            <w:r>
              <w:rPr>
                <w:rFonts w:hint="eastAsia" w:hAnsi="Calibri"/>
                <w:color w:val="000000"/>
              </w:rPr>
              <w:t>5.52%</w:t>
            </w:r>
          </w:p>
        </w:tc>
      </w:tr>
      <w:tr>
        <w:tblPrEx>
          <w:tblLayout w:type="fixed"/>
          <w:tblCellMar>
            <w:top w:w="0" w:type="dxa"/>
            <w:left w:w="108" w:type="dxa"/>
            <w:bottom w:w="0" w:type="dxa"/>
            <w:right w:w="108" w:type="dxa"/>
          </w:tblCellMar>
        </w:tblPrEx>
        <w:trPr>
          <w:trHeight w:val="180" w:hRule="atLeast"/>
        </w:trPr>
        <w:tc>
          <w:tcPr>
            <w:tcW w:w="3969" w:type="dxa"/>
            <w:vMerge w:val="restart"/>
            <w:tcBorders>
              <w:top w:val="single" w:color="000000" w:sz="8" w:space="0"/>
              <w:left w:val="single" w:color="000000" w:sz="8" w:space="0"/>
              <w:right w:val="single" w:color="000000" w:sz="8" w:space="0"/>
            </w:tcBorders>
            <w:vAlign w:val="center"/>
          </w:tcPr>
          <w:p>
            <w:pPr>
              <w:pStyle w:val="23"/>
              <w:wordWrap w:val="0"/>
              <w:rPr>
                <w:color w:val="000000"/>
              </w:rPr>
            </w:pPr>
            <w:r>
              <w:rPr>
                <w:rFonts w:hint="eastAsia" w:hAnsi="Calibri"/>
                <w:color w:val="000000"/>
              </w:rPr>
              <w:t>阶段</w:t>
            </w:r>
          </w:p>
        </w:tc>
        <w:tc>
          <w:tcPr>
            <w:tcW w:w="5245" w:type="dxa"/>
            <w:gridSpan w:val="2"/>
            <w:tcBorders>
              <w:top w:val="single" w:color="000000" w:sz="8" w:space="0"/>
              <w:left w:val="single" w:color="000000" w:sz="8" w:space="0"/>
              <w:bottom w:val="single" w:color="auto" w:sz="4" w:space="0"/>
              <w:right w:val="single" w:color="000000" w:sz="8" w:space="0"/>
            </w:tcBorders>
          </w:tcPr>
          <w:p>
            <w:pPr>
              <w:pStyle w:val="20"/>
              <w:jc w:val="center"/>
            </w:pPr>
            <w:r>
              <w:t>Z70002</w:t>
            </w:r>
          </w:p>
        </w:tc>
      </w:tr>
      <w:tr>
        <w:tblPrEx>
          <w:tblLayout w:type="fixed"/>
          <w:tblCellMar>
            <w:top w:w="0" w:type="dxa"/>
            <w:left w:w="108" w:type="dxa"/>
            <w:bottom w:w="0" w:type="dxa"/>
            <w:right w:w="108" w:type="dxa"/>
          </w:tblCellMar>
        </w:tblPrEx>
        <w:trPr>
          <w:trHeight w:val="225" w:hRule="atLeast"/>
        </w:trPr>
        <w:tc>
          <w:tcPr>
            <w:tcW w:w="3969" w:type="dxa"/>
            <w:vMerge w:val="continue"/>
            <w:tcBorders>
              <w:left w:val="single" w:color="000000" w:sz="8" w:space="0"/>
              <w:bottom w:val="single" w:color="000000" w:sz="6" w:space="0"/>
              <w:right w:val="single" w:color="000000" w:sz="8" w:space="0"/>
            </w:tcBorders>
            <w:vAlign w:val="center"/>
          </w:tcPr>
          <w:p>
            <w:pPr>
              <w:pStyle w:val="23"/>
              <w:wordWrap w:val="0"/>
              <w:rPr>
                <w:rFonts w:hAnsi="Calibri"/>
                <w:color w:val="000000"/>
              </w:rPr>
            </w:pPr>
          </w:p>
        </w:tc>
        <w:tc>
          <w:tcPr>
            <w:tcW w:w="2127" w:type="dxa"/>
            <w:tcBorders>
              <w:top w:val="single" w:color="auto" w:sz="4" w:space="0"/>
              <w:left w:val="single" w:color="000000" w:sz="8" w:space="0"/>
              <w:bottom w:val="single" w:color="000000" w:sz="6" w:space="0"/>
              <w:right w:val="single" w:color="auto" w:sz="4" w:space="0"/>
            </w:tcBorders>
            <w:vAlign w:val="center"/>
          </w:tcPr>
          <w:p>
            <w:pPr>
              <w:pStyle w:val="23"/>
              <w:wordWrap w:val="0"/>
              <w:rPr>
                <w:rFonts w:hAnsi="Calibri"/>
                <w:color w:val="000000"/>
              </w:rPr>
            </w:pPr>
            <w:r>
              <w:rPr>
                <w:rFonts w:hint="eastAsia" w:hAnsi="Calibri"/>
                <w:color w:val="000000"/>
              </w:rPr>
              <w:t>净值收益率</w:t>
            </w:r>
          </w:p>
        </w:tc>
        <w:tc>
          <w:tcPr>
            <w:tcW w:w="3118" w:type="dxa"/>
            <w:tcBorders>
              <w:top w:val="single" w:color="auto" w:sz="4" w:space="0"/>
              <w:left w:val="single" w:color="auto" w:sz="4" w:space="0"/>
              <w:bottom w:val="single" w:color="000000" w:sz="6" w:space="0"/>
              <w:right w:val="single" w:color="000000" w:sz="8" w:space="0"/>
            </w:tcBorders>
            <w:vAlign w:val="center"/>
          </w:tcPr>
          <w:p>
            <w:pPr>
              <w:pStyle w:val="23"/>
              <w:wordWrap w:val="0"/>
              <w:rPr>
                <w:rFonts w:hAnsi="Calibri"/>
                <w:color w:val="000000"/>
              </w:rPr>
            </w:pPr>
            <w:r>
              <w:rPr>
                <w:rFonts w:hint="eastAsia" w:hAnsi="Calibri"/>
                <w:color w:val="000000"/>
              </w:rPr>
              <w:t>业绩比较基准收益率</w:t>
            </w:r>
          </w:p>
        </w:tc>
      </w:tr>
      <w:tr>
        <w:tblPrEx>
          <w:tblLayout w:type="fixed"/>
          <w:tblCellMar>
            <w:top w:w="0" w:type="dxa"/>
            <w:left w:w="108" w:type="dxa"/>
            <w:bottom w:w="0" w:type="dxa"/>
            <w:right w:w="108" w:type="dxa"/>
          </w:tblCellMar>
        </w:tblPrEx>
        <w:tc>
          <w:tcPr>
            <w:tcW w:w="3969"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2020年</w:t>
            </w:r>
            <w:r>
              <w:rPr>
                <w:rFonts w:hint="eastAsia"/>
              </w:rPr>
              <w:t>09</w:t>
            </w:r>
            <w:r>
              <w:t>月</w:t>
            </w:r>
            <w:r>
              <w:rPr>
                <w:rFonts w:hint="eastAsia"/>
              </w:rPr>
              <w:t>30</w:t>
            </w:r>
            <w:r>
              <w:t>日 - 2020年12月31日</w:t>
            </w:r>
          </w:p>
        </w:tc>
        <w:tc>
          <w:tcPr>
            <w:tcW w:w="2127" w:type="dxa"/>
            <w:tcBorders>
              <w:top w:val="single" w:color="000000" w:sz="8" w:space="0"/>
              <w:left w:val="single" w:color="000000" w:sz="8" w:space="0"/>
              <w:bottom w:val="single" w:color="000000" w:sz="6" w:space="0"/>
              <w:right w:val="single" w:color="auto" w:sz="4" w:space="0"/>
            </w:tcBorders>
            <w:vAlign w:val="center"/>
          </w:tcPr>
          <w:p>
            <w:pPr>
              <w:pStyle w:val="22"/>
              <w:wordWrap w:val="0"/>
              <w:ind w:left="0"/>
              <w:rPr>
                <w:color w:val="000000"/>
              </w:rPr>
            </w:pPr>
            <w:r>
              <w:rPr>
                <w:color w:val="000000"/>
              </w:rPr>
              <w:t>7.3</w:t>
            </w:r>
            <w:r>
              <w:rPr>
                <w:rFonts w:hint="eastAsia"/>
                <w:color w:val="000000"/>
              </w:rPr>
              <w:t>3%</w:t>
            </w:r>
          </w:p>
        </w:tc>
        <w:tc>
          <w:tcPr>
            <w:tcW w:w="3118" w:type="dxa"/>
            <w:tcBorders>
              <w:top w:val="single" w:color="000000" w:sz="8" w:space="0"/>
              <w:left w:val="single" w:color="auto" w:sz="4" w:space="0"/>
              <w:bottom w:val="single" w:color="000000" w:sz="6" w:space="0"/>
              <w:right w:val="single" w:color="000000" w:sz="8" w:space="0"/>
            </w:tcBorders>
            <w:vAlign w:val="center"/>
          </w:tcPr>
          <w:p>
            <w:pPr>
              <w:pStyle w:val="22"/>
              <w:wordWrap w:val="0"/>
              <w:ind w:left="0"/>
              <w:rPr>
                <w:color w:val="000000"/>
              </w:rPr>
            </w:pPr>
            <w:r>
              <w:rPr>
                <w:rFonts w:hint="eastAsia" w:hAnsi="Calibri"/>
                <w:color w:val="000000"/>
              </w:rPr>
              <w:t>7.38%</w:t>
            </w:r>
          </w:p>
        </w:tc>
      </w:tr>
    </w:tbl>
    <w:p>
      <w:pPr>
        <w:widowControl/>
        <w:jc w:val="left"/>
      </w:pPr>
    </w:p>
    <w:p>
      <w:pPr>
        <w:widowControl/>
        <w:jc w:val="left"/>
        <w:rPr>
          <w:rFonts w:ascii="宋体" w:hAnsi="宋体" w:cs="宋体"/>
          <w:color w:val="000000"/>
          <w:kern w:val="0"/>
          <w:sz w:val="24"/>
          <w:szCs w:val="24"/>
        </w:rPr>
      </w:pPr>
      <w:r>
        <w:t>注：收益率为年化收益率</w:t>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pStyle w:val="8"/>
        <w:spacing w:line="360" w:lineRule="auto"/>
        <w:ind w:firstLine="480" w:firstLineChars="200"/>
        <w:rPr>
          <w:color w:val="000000"/>
        </w:rPr>
      </w:pPr>
      <w:r>
        <w:rPr>
          <w:rFonts w:hint="eastAsia"/>
          <w:color w:val="000000"/>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pPr>
        <w:pStyle w:val="8"/>
        <w:spacing w:line="360" w:lineRule="auto"/>
        <w:ind w:firstLine="480" w:firstLineChars="200"/>
        <w:rPr>
          <w:color w:val="000000"/>
        </w:rPr>
      </w:pPr>
      <w:r>
        <w:rPr>
          <w:rFonts w:hint="eastAsia"/>
          <w:color w:val="000000"/>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pPr>
        <w:pStyle w:val="8"/>
        <w:spacing w:line="360" w:lineRule="auto"/>
        <w:ind w:firstLine="480" w:firstLineChars="200"/>
        <w:rPr>
          <w:color w:val="000000"/>
        </w:rPr>
      </w:pPr>
      <w:r>
        <w:rPr>
          <w:rFonts w:hint="eastAsia"/>
          <w:color w:val="000000"/>
        </w:rPr>
        <w:t>权益市场，在经历四个月左右的横盘震荡后，A股主要指数在2020年最后两个月均获得显著上涨。11月利率上行，市场一致预期经济复苏和流动性边际收紧的组合，顺周期板块大涨，核心成长赛道有所调整。12月随着流动性转宽和美股新能源映射的加强，新能源汽车等成长板块趋势增强大幅上涨。</w:t>
      </w:r>
    </w:p>
    <w:p>
      <w:pPr>
        <w:pStyle w:val="8"/>
        <w:spacing w:line="360" w:lineRule="auto"/>
        <w:ind w:firstLine="480" w:firstLineChars="200"/>
        <w:rPr>
          <w:color w:val="000000"/>
        </w:rPr>
      </w:pPr>
      <w:r>
        <w:rPr>
          <w:rFonts w:hint="eastAsia"/>
          <w:color w:val="000000"/>
        </w:rPr>
        <w:t>展望2021年，债券方面，国内疫情基本得到控制，经济数据持续修复，央行货币政策将回归常态化，预计资金市场利率波动加剧，长端利率债呈现震荡格局，关注波段参与机会。信用债方面，一季度机构配置意愿较强，资质较优个券利差仍有压缩空间。投资上，在把控信用风险和资产流动性的同时，将积极挖掘优质主体的配置价值。</w:t>
      </w:r>
    </w:p>
    <w:p>
      <w:pPr>
        <w:pStyle w:val="8"/>
        <w:spacing w:line="360" w:lineRule="auto"/>
        <w:ind w:firstLine="480" w:firstLineChars="200"/>
        <w:rPr>
          <w:color w:val="000000"/>
        </w:rPr>
      </w:pPr>
      <w:r>
        <w:rPr>
          <w:rFonts w:hint="eastAsia"/>
          <w:color w:val="000000"/>
        </w:rPr>
        <w:t>权益方面，长期来看，国家竞争优势的增强、无风险利率的长期下行和房住不炒下居民财富搬家是A股权益市场长期配置价值的坚实基础。需要关注短期结构化高估带来的估值消化需求，选股难度将有所增加。后期将更加致力于攻守平衡，稳扎稳打。</w:t>
      </w:r>
    </w:p>
    <w:p>
      <w:pPr>
        <w:pStyle w:val="8"/>
        <w:rPr>
          <w:b/>
          <w:color w:val="000000"/>
        </w:rPr>
      </w:pPr>
      <w:r>
        <w:rPr>
          <w:rFonts w:hint="eastAsia"/>
          <w:b/>
          <w:color w:val="000000"/>
        </w:rPr>
        <w:t>3.2 报告期内产品的流动性风险分析</w:t>
      </w:r>
    </w:p>
    <w:p>
      <w:pPr>
        <w:pStyle w:val="8"/>
        <w:spacing w:line="360" w:lineRule="auto"/>
        <w:ind w:firstLine="480" w:firstLineChars="200"/>
        <w:rPr>
          <w:color w:val="000000"/>
        </w:rPr>
      </w:pPr>
      <w:r>
        <w:rPr>
          <w:rFonts w:hint="eastAsia"/>
          <w:color w:val="000000"/>
        </w:rPr>
        <w:t>本产品持仓资产以债券为主，整体流动性较好。后期将依据产品负债端情况，合理安排资产结构，在保证流动性资产比例的同时，兼顾组合收益。</w:t>
      </w:r>
    </w:p>
    <w:p>
      <w:pPr>
        <w:pStyle w:val="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pPr>
        <w:pStyle w:val="8"/>
        <w:rPr>
          <w:b/>
          <w:color w:val="000000"/>
          <w:highlight w:val="none"/>
        </w:rPr>
      </w:pPr>
      <w:r>
        <w:rPr>
          <w:rFonts w:hint="eastAsia"/>
          <w:b/>
          <w:color w:val="000000"/>
          <w:highlight w:val="none"/>
        </w:rPr>
        <w:t>3.3.1 报告期内产品净值情况</w:t>
      </w:r>
    </w:p>
    <w:p>
      <w:pPr>
        <w:widowControl/>
        <w:autoSpaceDE w:val="0"/>
        <w:autoSpaceDN w:val="0"/>
        <w:adjustRightInd w:val="0"/>
        <w:spacing w:line="288" w:lineRule="auto"/>
        <w:jc w:val="righ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金额单位：人民币元</w:t>
      </w:r>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621"/>
        <w:gridCol w:w="2035"/>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restart"/>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5075" w:type="dxa"/>
            <w:gridSpan w:val="3"/>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sz w:val="22"/>
                <w:szCs w:val="20"/>
                <w:highlight w:val="none"/>
              </w:rPr>
              <w:t>时点指标：报告期末</w:t>
            </w:r>
          </w:p>
        </w:tc>
        <w:tc>
          <w:tcPr>
            <w:tcW w:w="2155"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continue"/>
            <w:shd w:val="clear" w:color="auto" w:fill="auto"/>
            <w:vAlign w:val="center"/>
          </w:tcPr>
          <w:p>
            <w:pPr>
              <w:pStyle w:val="33"/>
              <w:rPr>
                <w:rFonts w:hint="eastAsia" w:ascii="宋体" w:hAnsi="宋体" w:eastAsia="宋体" w:cs="宋体"/>
                <w:b/>
                <w:color w:val="000000"/>
                <w:kern w:val="2"/>
                <w:highlight w:val="none"/>
              </w:rPr>
            </w:pPr>
          </w:p>
        </w:tc>
        <w:tc>
          <w:tcPr>
            <w:tcW w:w="1419"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份额净值</w:t>
            </w:r>
          </w:p>
        </w:tc>
        <w:tc>
          <w:tcPr>
            <w:tcW w:w="1621"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份额累计净值</w:t>
            </w:r>
          </w:p>
        </w:tc>
        <w:tc>
          <w:tcPr>
            <w:tcW w:w="2035"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rPr>
              <w:t>资产净值</w:t>
            </w:r>
          </w:p>
        </w:tc>
        <w:tc>
          <w:tcPr>
            <w:tcW w:w="2155"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Z70001</w:t>
            </w:r>
          </w:p>
        </w:tc>
        <w:tc>
          <w:tcPr>
            <w:tcW w:w="1419"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2"/>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1.0202</w:t>
            </w:r>
          </w:p>
        </w:tc>
        <w:tc>
          <w:tcPr>
            <w:tcW w:w="1621"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2"/>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1.0202</w:t>
            </w:r>
          </w:p>
        </w:tc>
        <w:tc>
          <w:tcPr>
            <w:tcW w:w="203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2,330,042,191.60</w:t>
            </w:r>
          </w:p>
        </w:tc>
        <w:tc>
          <w:tcPr>
            <w:tcW w:w="2155"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lang w:val="en-US" w:eastAsia="zh-CN"/>
              </w:rPr>
              <w:t>6.89</w:t>
            </w:r>
            <w:r>
              <w:rPr>
                <w:rFonts w:hint="eastAsia" w:ascii="宋体" w:hAnsi="宋体" w:eastAsia="宋体" w:cs="宋体"/>
                <w:color w:val="000000"/>
                <w:kern w:val="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Z70002</w:t>
            </w:r>
          </w:p>
        </w:tc>
        <w:tc>
          <w:tcPr>
            <w:tcW w:w="1419"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1.0187</w:t>
            </w:r>
          </w:p>
        </w:tc>
        <w:tc>
          <w:tcPr>
            <w:tcW w:w="1621"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sz w:val="22"/>
                <w:szCs w:val="22"/>
                <w:highlight w:val="none"/>
              </w:rPr>
            </w:pPr>
            <w:r>
              <w:rPr>
                <w:rFonts w:hint="eastAsia" w:ascii="宋体" w:hAnsi="宋体" w:eastAsia="宋体" w:cs="宋体"/>
                <w:i w:val="0"/>
                <w:iCs w:val="0"/>
                <w:color w:val="000000"/>
                <w:kern w:val="0"/>
                <w:sz w:val="22"/>
                <w:szCs w:val="22"/>
                <w:highlight w:val="none"/>
                <w:u w:val="none"/>
                <w:lang w:val="en-US" w:eastAsia="zh-CN" w:bidi="ar"/>
              </w:rPr>
              <w:t>1.0187</w:t>
            </w:r>
          </w:p>
        </w:tc>
        <w:tc>
          <w:tcPr>
            <w:tcW w:w="203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1,550,194,398.13</w:t>
            </w:r>
          </w:p>
        </w:tc>
        <w:tc>
          <w:tcPr>
            <w:tcW w:w="2155"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lang w:val="en-US" w:eastAsia="zh-CN"/>
              </w:rPr>
              <w:t>7.33</w:t>
            </w:r>
            <w:r>
              <w:rPr>
                <w:rFonts w:hint="eastAsia" w:ascii="宋体" w:hAnsi="宋体" w:eastAsia="宋体" w:cs="宋体"/>
                <w:color w:val="000000"/>
                <w:kern w:val="2"/>
                <w:highlight w:val="none"/>
              </w:rPr>
              <w:t>%</w:t>
            </w:r>
          </w:p>
        </w:tc>
      </w:tr>
    </w:tbl>
    <w:p>
      <w:pPr>
        <w:pStyle w:val="8"/>
        <w:rPr>
          <w:rFonts w:hint="eastAsia" w:ascii="宋体" w:hAnsi="宋体" w:eastAsia="宋体" w:cs="宋体"/>
          <w:b/>
          <w:color w:val="000000"/>
          <w:highlight w:val="none"/>
        </w:rPr>
      </w:pPr>
      <w:r>
        <w:rPr>
          <w:rFonts w:hint="eastAsia" w:ascii="宋体" w:hAnsi="宋体" w:eastAsia="宋体" w:cs="宋体"/>
          <w:b/>
          <w:color w:val="000000"/>
          <w:highlight w:val="none"/>
        </w:rPr>
        <w:t>3.3.2 报告期内产品收益分配情况</w:t>
      </w:r>
    </w:p>
    <w:p>
      <w:pPr>
        <w:pStyle w:val="33"/>
        <w:jc w:val="right"/>
        <w:rPr>
          <w:rFonts w:hint="eastAsia" w:ascii="宋体" w:hAnsi="宋体" w:eastAsia="宋体" w:cs="宋体"/>
          <w:color w:val="000000"/>
          <w:kern w:val="2"/>
          <w:highlight w:val="none"/>
        </w:rPr>
      </w:pPr>
      <w:r>
        <w:rPr>
          <w:rFonts w:hint="eastAsia" w:ascii="宋体" w:hAnsi="宋体" w:eastAsia="宋体" w:cs="宋体"/>
          <w:color w:val="000000"/>
          <w:kern w:val="2"/>
          <w:highlight w:val="none"/>
        </w:rPr>
        <w:t>金额单位：</w:t>
      </w:r>
      <w:r>
        <w:rPr>
          <w:rFonts w:hint="eastAsia" w:ascii="宋体" w:hAnsi="宋体" w:eastAsia="宋体" w:cs="宋体"/>
          <w:color w:val="000000"/>
          <w:sz w:val="24"/>
          <w:highlight w:val="none"/>
        </w:rPr>
        <w:t>人民币元</w:t>
      </w:r>
    </w:p>
    <w:tbl>
      <w:tblPr>
        <w:tblStyle w:val="13"/>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397"/>
        <w:gridCol w:w="1397"/>
        <w:gridCol w:w="1397"/>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收益分配</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基准日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权益</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登记日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除息日</w:t>
            </w:r>
          </w:p>
        </w:tc>
        <w:tc>
          <w:tcPr>
            <w:tcW w:w="1397"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红利</w:t>
            </w:r>
          </w:p>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发放日</w:t>
            </w:r>
          </w:p>
        </w:tc>
        <w:tc>
          <w:tcPr>
            <w:tcW w:w="1398"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每10份额现金分红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3"/>
              <w:rPr>
                <w:rFonts w:ascii="宋体" w:hAnsi="宋体" w:eastAsia="宋体"/>
                <w:b/>
                <w:color w:val="000000"/>
                <w:kern w:val="2"/>
                <w:highlight w:val="none"/>
              </w:rPr>
            </w:pPr>
            <w:r>
              <w:rPr>
                <w:rFonts w:hint="eastAsia" w:ascii="宋体" w:hAnsi="宋体" w:eastAsia="宋体"/>
                <w:b/>
                <w:color w:val="000000"/>
                <w:kern w:val="2"/>
                <w:highlight w:val="none"/>
              </w:rPr>
              <w:t>-</w:t>
            </w:r>
          </w:p>
        </w:tc>
        <w:tc>
          <w:tcPr>
            <w:tcW w:w="1397"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c>
          <w:tcPr>
            <w:tcW w:w="1397"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c>
          <w:tcPr>
            <w:tcW w:w="1397"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c>
          <w:tcPr>
            <w:tcW w:w="1397"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c>
          <w:tcPr>
            <w:tcW w:w="1398"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r>
    </w:tbl>
    <w:p>
      <w:pPr>
        <w:widowControl/>
        <w:jc w:val="left"/>
        <w:rPr>
          <w:rFonts w:ascii="宋体" w:hAnsi="宋体" w:cs="宋体"/>
          <w:color w:val="000000"/>
          <w:kern w:val="0"/>
          <w:sz w:val="24"/>
          <w:szCs w:val="24"/>
        </w:rPr>
      </w:pPr>
    </w:p>
    <w:p>
      <w:pPr>
        <w:pStyle w:val="26"/>
        <w:rPr>
          <w:rFonts w:hAnsi="Calibri"/>
          <w:b/>
          <w:color w:val="000000"/>
        </w:rPr>
      </w:pPr>
      <w:r>
        <w:rPr>
          <w:rFonts w:hint="eastAsia" w:hAnsi="Calibri"/>
          <w:b/>
          <w:color w:val="000000"/>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bookmarkStart w:id="0" w:name="_Hlk65766326"/>
      <w:r>
        <w:rPr>
          <w:rFonts w:hint="eastAsia"/>
        </w:rPr>
        <w:t>在托管本产品的过程中，本产品托管人南京银行股份有限公司严格遵守《商业银行理财业务监督管理办法》相关法律法规的规定以及产品说明书的约定，对本产品管理人</w:t>
      </w:r>
      <w:r>
        <w:t>—</w:t>
      </w:r>
      <w:r>
        <w:rPr>
          <w:rFonts w:hint="eastAsia"/>
        </w:rPr>
        <w:t>南银理财有限责任公司</w:t>
      </w:r>
      <w:r>
        <w:t>2020</w:t>
      </w:r>
      <w:r>
        <w:rPr>
          <w:rFonts w:hint="eastAsia"/>
        </w:rPr>
        <w:t>年</w:t>
      </w:r>
      <w:r>
        <w:t>0</w:t>
      </w:r>
      <w:r>
        <w:rPr>
          <w:rFonts w:hint="eastAsia"/>
        </w:rPr>
        <w:t>9月16日至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0"/>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bookmarkStart w:id="1" w:name="_Hlk65769865"/>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1"/>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pPr>
      <w:bookmarkStart w:id="2" w:name="_Hlk65769872"/>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2"/>
    </w:p>
    <w:p>
      <w:pPr>
        <w:pStyle w:val="25"/>
        <w:spacing w:line="360" w:lineRule="auto"/>
        <w:ind w:firstLine="480"/>
        <w:rPr>
          <w:color w:val="000000"/>
        </w:rPr>
      </w:pPr>
    </w:p>
    <w:p>
      <w:pPr>
        <w:pStyle w:val="26"/>
        <w:rPr>
          <w:color w:val="000000"/>
        </w:rPr>
      </w:pPr>
      <w:r>
        <w:rPr>
          <w:rFonts w:hint="eastAsia" w:hAnsi="Calibri"/>
          <w:b/>
          <w:color w:val="000000"/>
        </w:rPr>
        <w:t>§</w:t>
      </w:r>
      <w:r>
        <w:rPr>
          <w:rFonts w:hint="eastAsia" w:hAnsi="Calibri"/>
          <w:b/>
          <w:color w:val="000000"/>
          <w:lang w:val="en-US" w:eastAsia="zh-CN"/>
        </w:rPr>
        <w:t>5</w:t>
      </w:r>
      <w:r>
        <w:rPr>
          <w:rFonts w:hint="eastAsia" w:hAnsi="Calibri"/>
          <w:b/>
          <w:color w:val="000000"/>
        </w:rPr>
        <w:t xml:space="preserve">  投资组合报告</w:t>
      </w:r>
    </w:p>
    <w:p>
      <w:pPr>
        <w:widowControl/>
        <w:jc w:val="left"/>
        <w:rPr>
          <w:rFonts w:ascii="宋体" w:hAnsi="宋体" w:cs="宋体"/>
          <w:color w:val="000000"/>
          <w:kern w:val="0"/>
          <w:sz w:val="24"/>
          <w:szCs w:val="24"/>
        </w:rPr>
      </w:pPr>
    </w:p>
    <w:p>
      <w:pPr>
        <w:pStyle w:val="20"/>
        <w:ind w:left="0"/>
      </w:pPr>
      <w:r>
        <w:rPr>
          <w:rFonts w:hint="eastAsia"/>
          <w:b/>
          <w:bCs/>
          <w:color w:val="000000"/>
          <w:lang w:val="en-US" w:eastAsia="zh-CN"/>
        </w:rPr>
        <w:t>5</w:t>
      </w:r>
      <w:r>
        <w:rPr>
          <w:rFonts w:hint="eastAsia"/>
          <w:b/>
          <w:bCs/>
          <w:color w:val="000000"/>
        </w:rPr>
        <w:t xml:space="preserve">.1 </w:t>
      </w:r>
      <w:r>
        <w:rPr>
          <w:rFonts w:hint="eastAsia"/>
          <w:b/>
          <w:bCs/>
        </w:rPr>
        <w:t>报告期末产品资产组合情况</w:t>
      </w:r>
    </w:p>
    <w:tbl>
      <w:tblPr>
        <w:tblStyle w:val="13"/>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固定收益类</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92.59%</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92.85%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权益类</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1.77%</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商品及金融衍生品类</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0.00%</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混合类</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5.64%</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100.00%</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100.00%</w:t>
            </w:r>
          </w:p>
        </w:tc>
      </w:tr>
    </w:tbl>
    <w:p>
      <w:pPr>
        <w:widowControl/>
        <w:jc w:val="left"/>
        <w:rPr>
          <w:rFonts w:ascii="宋体" w:hAnsi="宋体" w:cs="宋体"/>
          <w:color w:val="000000"/>
          <w:kern w:val="0"/>
          <w:sz w:val="24"/>
          <w:szCs w:val="24"/>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8800" w:type="dxa"/>
        <w:tblInd w:w="93" w:type="dxa"/>
        <w:tblLayout w:type="fixed"/>
        <w:tblCellMar>
          <w:top w:w="0" w:type="dxa"/>
          <w:left w:w="108" w:type="dxa"/>
          <w:bottom w:w="0" w:type="dxa"/>
          <w:right w:w="108" w:type="dxa"/>
        </w:tblCellMar>
      </w:tblPr>
      <w:tblGrid>
        <w:gridCol w:w="582"/>
        <w:gridCol w:w="1728"/>
        <w:gridCol w:w="2690"/>
        <w:gridCol w:w="2035"/>
        <w:gridCol w:w="1765"/>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rPr>
                <w:color w:val="000000"/>
              </w:rPr>
            </w:pPr>
            <w:r>
              <w:rPr>
                <w:rFonts w:hint="eastAsia"/>
                <w:color w:val="000000"/>
              </w:rPr>
              <w:t>序号</w:t>
            </w:r>
          </w:p>
        </w:tc>
        <w:tc>
          <w:tcPr>
            <w:tcW w:w="172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代码</w:t>
            </w:r>
          </w:p>
        </w:tc>
        <w:tc>
          <w:tcPr>
            <w:tcW w:w="269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名称</w:t>
            </w:r>
          </w:p>
        </w:tc>
        <w:tc>
          <w:tcPr>
            <w:tcW w:w="203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公允价值(元)</w:t>
            </w:r>
          </w:p>
        </w:tc>
        <w:tc>
          <w:tcPr>
            <w:tcW w:w="176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占产品资产净值比例（％）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pPr>
            <w:r>
              <w:rPr>
                <w:rFonts w:hint="eastAsia"/>
                <w:color w:val="000000"/>
              </w:rPr>
              <w:t>1</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Arial"/>
                <w:color w:val="000000"/>
                <w:sz w:val="24"/>
                <w:szCs w:val="24"/>
              </w:rPr>
            </w:pPr>
            <w:r>
              <w:rPr>
                <w:rFonts w:hint="eastAsia" w:ascii="宋体" w:hAnsi="宋体" w:cs="Arial"/>
                <w:color w:val="000000"/>
                <w:sz w:val="24"/>
                <w:szCs w:val="24"/>
              </w:rPr>
              <w:t>032000879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20湘家荡PPN002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148,320,893.39</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3.82%</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2</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Arial"/>
                <w:color w:val="000000"/>
                <w:sz w:val="24"/>
                <w:szCs w:val="24"/>
              </w:rPr>
            </w:pPr>
            <w:r>
              <w:rPr>
                <w:rFonts w:hint="eastAsia" w:ascii="宋体" w:hAnsi="宋体" w:cs="Arial"/>
                <w:color w:val="000000"/>
                <w:sz w:val="24"/>
                <w:szCs w:val="24"/>
              </w:rPr>
              <w:t>032000142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20即墨城投PPN001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145,789,923.55</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3.76%</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3</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Arial"/>
                <w:color w:val="000000"/>
                <w:sz w:val="24"/>
                <w:szCs w:val="24"/>
              </w:rPr>
            </w:pPr>
            <w:r>
              <w:rPr>
                <w:rFonts w:hint="eastAsia" w:ascii="宋体" w:hAnsi="宋体" w:cs="Arial"/>
                <w:color w:val="000000"/>
                <w:sz w:val="24"/>
                <w:szCs w:val="24"/>
              </w:rPr>
              <w:t>032000752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20诸暨国资PPN001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130,000,593.29</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3.35%</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4</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Arial"/>
                <w:color w:val="000000"/>
                <w:sz w:val="24"/>
                <w:szCs w:val="24"/>
              </w:rPr>
            </w:pPr>
            <w:r>
              <w:rPr>
                <w:rFonts w:hint="eastAsia" w:ascii="宋体" w:hAnsi="宋体" w:cs="Arial"/>
                <w:color w:val="000000"/>
                <w:sz w:val="24"/>
                <w:szCs w:val="24"/>
              </w:rPr>
              <w:t>131760004</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17南通经开GN002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122,150,743.06</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3.15%</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5</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Arial"/>
                <w:color w:val="000000"/>
                <w:sz w:val="24"/>
                <w:szCs w:val="24"/>
              </w:rPr>
            </w:pPr>
            <w:r>
              <w:rPr>
                <w:rFonts w:hint="eastAsia" w:ascii="宋体" w:hAnsi="宋体" w:cs="Arial"/>
                <w:color w:val="000000"/>
                <w:sz w:val="24"/>
                <w:szCs w:val="24"/>
              </w:rPr>
              <w:t>032000141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20常交通PPN001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115,894,500.83</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2.99%</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6</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Arial"/>
                <w:color w:val="000000"/>
                <w:sz w:val="24"/>
                <w:szCs w:val="24"/>
              </w:rPr>
            </w:pPr>
            <w:r>
              <w:rPr>
                <w:rFonts w:hint="eastAsia" w:ascii="宋体" w:hAnsi="宋体" w:cs="Arial"/>
                <w:color w:val="000000"/>
                <w:sz w:val="24"/>
                <w:szCs w:val="24"/>
              </w:rPr>
              <w:t>180212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18国开12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110,950,840.00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2.86%</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7</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Arial"/>
                <w:color w:val="000000"/>
                <w:sz w:val="24"/>
                <w:szCs w:val="24"/>
              </w:rPr>
            </w:pPr>
            <w:r>
              <w:rPr>
                <w:rFonts w:hint="eastAsia" w:ascii="宋体" w:hAnsi="宋体" w:cs="Arial"/>
                <w:color w:val="000000"/>
                <w:sz w:val="24"/>
                <w:szCs w:val="24"/>
              </w:rPr>
              <w:t>101786003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17华靖资产MTN001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103,087,200.00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2.66%</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8</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Arial"/>
                <w:color w:val="000000"/>
                <w:sz w:val="24"/>
                <w:szCs w:val="24"/>
              </w:rPr>
            </w:pPr>
            <w:r>
              <w:rPr>
                <w:rFonts w:hint="eastAsia" w:ascii="宋体" w:hAnsi="宋体" w:cs="Arial"/>
                <w:color w:val="000000"/>
                <w:sz w:val="24"/>
                <w:szCs w:val="24"/>
              </w:rPr>
              <w:t>101801499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18粤珠江MTN002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101,511,300.00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2.62%</w:t>
            </w:r>
          </w:p>
        </w:tc>
      </w:tr>
      <w:tr>
        <w:tblPrEx>
          <w:tblLayout w:type="fixed"/>
          <w:tblCellMar>
            <w:top w:w="0" w:type="dxa"/>
            <w:left w:w="108" w:type="dxa"/>
            <w:bottom w:w="0" w:type="dxa"/>
            <w:right w:w="108" w:type="dxa"/>
          </w:tblCellMar>
        </w:tblPrEx>
        <w:trPr>
          <w:trHeight w:val="355"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9</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Arial"/>
                <w:color w:val="000000"/>
                <w:sz w:val="24"/>
                <w:szCs w:val="24"/>
              </w:rPr>
            </w:pPr>
            <w:r>
              <w:rPr>
                <w:rFonts w:hint="eastAsia" w:ascii="宋体" w:hAnsi="宋体" w:cs="Arial"/>
                <w:color w:val="000000"/>
                <w:sz w:val="24"/>
                <w:szCs w:val="24"/>
              </w:rPr>
              <w:t>200406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20农发06</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99,756,400.00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2.57%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Arial"/>
                <w:color w:val="000000"/>
                <w:sz w:val="24"/>
                <w:szCs w:val="24"/>
              </w:rPr>
            </w:pPr>
            <w:r>
              <w:rPr>
                <w:rFonts w:hint="eastAsia" w:ascii="宋体" w:hAnsi="宋体" w:cs="Arial"/>
                <w:color w:val="000000"/>
                <w:sz w:val="24"/>
                <w:szCs w:val="24"/>
              </w:rPr>
              <w:t>137294</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陆信3A</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99,521,606.08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ascii="宋体" w:hAnsi="宋体" w:cs="Arial"/>
                <w:color w:val="000000"/>
                <w:sz w:val="24"/>
                <w:szCs w:val="24"/>
              </w:rPr>
            </w:pPr>
            <w:r>
              <w:rPr>
                <w:rFonts w:hint="eastAsia" w:ascii="宋体" w:hAnsi="宋体" w:cs="Arial"/>
                <w:color w:val="000000"/>
                <w:sz w:val="24"/>
                <w:szCs w:val="24"/>
              </w:rPr>
              <w:t>2.56%</w:t>
            </w:r>
          </w:p>
        </w:tc>
      </w:tr>
    </w:tbl>
    <w:p>
      <w:pPr>
        <w:widowControl/>
        <w:jc w:val="left"/>
        <w:rPr>
          <w:rFonts w:ascii="宋体" w:hAnsi="宋体" w:cs="宋体"/>
          <w:b/>
          <w:sz w:val="24"/>
          <w:szCs w:val="24"/>
          <w:shd w:val="clear" w:color="auto" w:fill="FFFFFF"/>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8931" w:type="dxa"/>
        <w:tblInd w:w="108" w:type="dxa"/>
        <w:tblLayout w:type="fixed"/>
        <w:tblCellMar>
          <w:top w:w="0" w:type="dxa"/>
          <w:left w:w="108" w:type="dxa"/>
          <w:bottom w:w="0" w:type="dxa"/>
          <w:right w:w="108" w:type="dxa"/>
        </w:tblCellMar>
      </w:tblPr>
      <w:tblGrid>
        <w:gridCol w:w="709"/>
        <w:gridCol w:w="1276"/>
        <w:gridCol w:w="1701"/>
        <w:gridCol w:w="1417"/>
        <w:gridCol w:w="1701"/>
        <w:gridCol w:w="1276"/>
        <w:gridCol w:w="851"/>
      </w:tblGrid>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序号</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17"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85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8" w:space="0"/>
              <w:right w:val="single" w:color="000000" w:sz="8" w:space="0"/>
            </w:tcBorders>
            <w:vAlign w:val="center"/>
          </w:tcPr>
          <w:p>
            <w:pPr>
              <w:pStyle w:val="23"/>
              <w:wordWrap w:val="0"/>
              <w:rPr>
                <w:shd w:val="clear" w:color="auto" w:fill="FFFFFF"/>
              </w:rPr>
            </w:pPr>
            <w:r>
              <w:rPr>
                <w:rFonts w:hint="eastAsia"/>
              </w:rPr>
              <w:t>1</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417"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85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r>
    </w:tbl>
    <w:p>
      <w:pPr>
        <w:widowControl/>
        <w:jc w:val="left"/>
        <w:rPr>
          <w:rFonts w:ascii="宋体" w:hAnsi="宋体" w:cs="宋体"/>
          <w:color w:val="000000"/>
          <w:kern w:val="0"/>
          <w:sz w:val="24"/>
          <w:szCs w:val="24"/>
        </w:rPr>
      </w:pPr>
    </w:p>
    <w:p>
      <w:pPr>
        <w:pStyle w:val="26"/>
        <w:rPr>
          <w:b/>
          <w:bCs/>
          <w:color w:val="000000"/>
          <w:highlight w:val="none"/>
        </w:rPr>
      </w:pPr>
      <w:r>
        <w:rPr>
          <w:rFonts w:hint="eastAsia"/>
          <w:b/>
          <w:bCs/>
          <w:color w:val="000000"/>
          <w:highlight w:val="none"/>
        </w:rPr>
        <w:t>§</w:t>
      </w:r>
      <w:r>
        <w:rPr>
          <w:rFonts w:hint="eastAsia"/>
          <w:b/>
          <w:bCs/>
          <w:color w:val="000000"/>
          <w:highlight w:val="none"/>
          <w:lang w:val="en-US" w:eastAsia="zh-CN"/>
        </w:rPr>
        <w:t>6</w:t>
      </w:r>
      <w:r>
        <w:rPr>
          <w:rFonts w:hint="eastAsia"/>
          <w:b/>
          <w:bCs/>
          <w:color w:val="000000"/>
          <w:highlight w:val="none"/>
        </w:rPr>
        <w:t xml:space="preserve"> 投资账户信息</w:t>
      </w:r>
    </w:p>
    <w:tbl>
      <w:tblPr>
        <w:tblStyle w:val="13"/>
        <w:tblW w:w="9205" w:type="dxa"/>
        <w:tblInd w:w="95" w:type="dxa"/>
        <w:tblLayout w:type="fixed"/>
        <w:tblCellMar>
          <w:top w:w="0" w:type="dxa"/>
          <w:left w:w="108" w:type="dxa"/>
          <w:bottom w:w="0" w:type="dxa"/>
          <w:right w:w="108" w:type="dxa"/>
        </w:tblCellMar>
      </w:tblPr>
      <w:tblGrid>
        <w:gridCol w:w="711"/>
        <w:gridCol w:w="1320"/>
        <w:gridCol w:w="2390"/>
        <w:gridCol w:w="3463"/>
        <w:gridCol w:w="1321"/>
      </w:tblGrid>
      <w:tr>
        <w:tblPrEx>
          <w:tblLayout w:type="fixed"/>
          <w:tblCellMar>
            <w:top w:w="0" w:type="dxa"/>
            <w:left w:w="108" w:type="dxa"/>
            <w:bottom w:w="0" w:type="dxa"/>
            <w:right w:w="108" w:type="dxa"/>
          </w:tblCellMar>
        </w:tblPrEx>
        <w:trPr>
          <w:trHeight w:val="705" w:hRule="atLeast"/>
        </w:trPr>
        <w:tc>
          <w:tcPr>
            <w:tcW w:w="711" w:type="dxa"/>
            <w:tcBorders>
              <w:top w:val="single" w:color="000000" w:sz="8" w:space="0"/>
              <w:left w:val="single" w:color="000000" w:sz="8" w:space="0"/>
              <w:bottom w:val="single" w:color="000000" w:sz="6" w:space="0"/>
              <w:right w:val="single" w:color="000000" w:sz="8" w:space="0"/>
            </w:tcBorders>
            <w:vAlign w:val="center"/>
          </w:tcPr>
          <w:p>
            <w:pPr>
              <w:pStyle w:val="23"/>
              <w:rPr>
                <w:highlight w:val="none"/>
                <w:shd w:val="clear" w:color="auto" w:fill="FFFFFF"/>
              </w:rPr>
            </w:pPr>
            <w:r>
              <w:rPr>
                <w:rFonts w:hint="eastAsia" w:hAnsi="Calibri"/>
                <w:highlight w:val="none"/>
                <w:shd w:val="clear" w:color="auto" w:fill="FFFFFF"/>
              </w:rPr>
              <w:t>序号</w:t>
            </w:r>
          </w:p>
        </w:tc>
        <w:tc>
          <w:tcPr>
            <w:tcW w:w="132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账户类型</w:t>
            </w:r>
          </w:p>
        </w:tc>
        <w:tc>
          <w:tcPr>
            <w:tcW w:w="239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账号</w:t>
            </w:r>
          </w:p>
        </w:tc>
        <w:tc>
          <w:tcPr>
            <w:tcW w:w="3463"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账户名称</w:t>
            </w:r>
          </w:p>
        </w:tc>
        <w:tc>
          <w:tcPr>
            <w:tcW w:w="1321"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开户单位</w:t>
            </w:r>
          </w:p>
        </w:tc>
      </w:tr>
      <w:tr>
        <w:tblPrEx>
          <w:tblLayout w:type="fixed"/>
          <w:tblCellMar>
            <w:top w:w="0" w:type="dxa"/>
            <w:left w:w="108" w:type="dxa"/>
            <w:bottom w:w="0" w:type="dxa"/>
            <w:right w:w="108" w:type="dxa"/>
          </w:tblCellMar>
        </w:tblPrEx>
        <w:trPr>
          <w:trHeight w:val="364" w:hRule="atLeast"/>
        </w:trPr>
        <w:tc>
          <w:tcPr>
            <w:tcW w:w="71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1</w:t>
            </w:r>
          </w:p>
        </w:tc>
        <w:tc>
          <w:tcPr>
            <w:tcW w:w="1320" w:type="dxa"/>
            <w:tcBorders>
              <w:top w:val="single" w:color="000000" w:sz="8" w:space="0"/>
              <w:left w:val="single" w:color="000000" w:sz="8" w:space="0"/>
              <w:bottom w:val="single" w:color="000000" w:sz="8" w:space="0"/>
              <w:right w:val="single" w:color="000000" w:sz="8" w:space="0"/>
            </w:tcBorders>
            <w:vAlign w:val="bottom"/>
          </w:tcPr>
          <w:p>
            <w:pPr>
              <w:pStyle w:val="23"/>
              <w:wordWrap w:val="0"/>
              <w:rPr>
                <w:highlight w:val="none"/>
                <w:shd w:val="clear" w:color="auto" w:fill="FFFFFF"/>
              </w:rPr>
            </w:pPr>
            <w:r>
              <w:rPr>
                <w:highlight w:val="none"/>
                <w:shd w:val="clear" w:color="auto" w:fill="FFFFFF"/>
              </w:rPr>
              <w:t>托管账户</w:t>
            </w:r>
          </w:p>
        </w:tc>
        <w:tc>
          <w:tcPr>
            <w:tcW w:w="2390"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0120070000000438</w:t>
            </w:r>
          </w:p>
        </w:tc>
        <w:tc>
          <w:tcPr>
            <w:tcW w:w="3463"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南京银行财富牛4号</w:t>
            </w:r>
          </w:p>
        </w:tc>
        <w:tc>
          <w:tcPr>
            <w:tcW w:w="132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highlight w:val="none"/>
                <w:shd w:val="clear" w:color="auto" w:fill="FFFFFF"/>
              </w:rPr>
              <w:t>南京银行</w:t>
            </w:r>
          </w:p>
        </w:tc>
      </w:tr>
    </w:tbl>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pStyle w:val="26"/>
        <w:rPr>
          <w:color w:val="000000"/>
        </w:rPr>
      </w:pPr>
      <w:r>
        <w:rPr>
          <w:rFonts w:hint="eastAsia"/>
          <w:b/>
          <w:bCs/>
          <w:color w:val="000000"/>
        </w:rPr>
        <w:t>§7 关联交易情况</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w:t>
      </w:r>
      <w:r>
        <w:rPr>
          <w:rFonts w:hint="eastAsia" w:ascii="宋体" w:hAnsi="宋体" w:eastAsia="宋体" w:cs="宋体"/>
          <w:color w:val="000000"/>
          <w:kern w:val="0"/>
          <w:sz w:val="24"/>
          <w:szCs w:val="24"/>
          <w:highlight w:val="none"/>
        </w:rPr>
        <w:t>产品投资于关联方发行的证券0.00元。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产品投资于关联方承销的证券交易金额0.00元。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产品与关联方作为交易对手开展的投融资业务交易金额555</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048</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452.05元。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产品支付关联方托管费663.59元，支付关联方代销费0.00元。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产品发生其他关联交易金额0.00元。</w:t>
      </w:r>
      <w:bookmarkStart w:id="3" w:name="_GoBack"/>
      <w:bookmarkEnd w:id="3"/>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报告期内，产品未发生重大关联交易。</w:t>
      </w:r>
    </w:p>
    <w:p>
      <w:pPr>
        <w:widowControl/>
        <w:shd w:val="clear" w:color="auto" w:fill="FFFFFF"/>
        <w:spacing w:before="100" w:beforeAutospacing="1" w:after="100" w:afterAutospacing="1" w:line="390" w:lineRule="atLeast"/>
        <w:ind w:firstLine="480" w:firstLineChars="200"/>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color w:val="000000"/>
        </w:rPr>
      </w:pPr>
    </w:p>
    <w:p>
      <w:pPr>
        <w:pStyle w:val="22"/>
      </w:pPr>
      <w:r>
        <w:rPr>
          <w:rFonts w:hint="eastAsia" w:hAnsi="Calibri"/>
          <w:b/>
          <w:color w:val="000000"/>
        </w:rPr>
        <w:t>南银理财有限责任公司</w:t>
      </w:r>
    </w:p>
    <w:p>
      <w:pPr>
        <w:pStyle w:val="22"/>
      </w:pPr>
      <w:r>
        <w:t>2024年9月30日</w:t>
      </w:r>
    </w:p>
    <w:sectPr>
      <w:footerReference r:id="rId3"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234FF"/>
    <w:rsid w:val="000258F6"/>
    <w:rsid w:val="00034FF6"/>
    <w:rsid w:val="0004167C"/>
    <w:rsid w:val="00044BFF"/>
    <w:rsid w:val="0005474A"/>
    <w:rsid w:val="00061725"/>
    <w:rsid w:val="00075994"/>
    <w:rsid w:val="000A3711"/>
    <w:rsid w:val="000C3121"/>
    <w:rsid w:val="000D5066"/>
    <w:rsid w:val="000F6191"/>
    <w:rsid w:val="00106F5D"/>
    <w:rsid w:val="001138D9"/>
    <w:rsid w:val="00130CE8"/>
    <w:rsid w:val="00152201"/>
    <w:rsid w:val="00160030"/>
    <w:rsid w:val="00172A27"/>
    <w:rsid w:val="00174B8D"/>
    <w:rsid w:val="00176636"/>
    <w:rsid w:val="001771FE"/>
    <w:rsid w:val="00183C84"/>
    <w:rsid w:val="001C05F9"/>
    <w:rsid w:val="001C5395"/>
    <w:rsid w:val="00203245"/>
    <w:rsid w:val="00211F26"/>
    <w:rsid w:val="002263FC"/>
    <w:rsid w:val="002A3AE9"/>
    <w:rsid w:val="002C196E"/>
    <w:rsid w:val="002C44F9"/>
    <w:rsid w:val="002D60EC"/>
    <w:rsid w:val="002D75D0"/>
    <w:rsid w:val="002E1C1C"/>
    <w:rsid w:val="002E795C"/>
    <w:rsid w:val="00305714"/>
    <w:rsid w:val="00313E71"/>
    <w:rsid w:val="00321CB7"/>
    <w:rsid w:val="003379A9"/>
    <w:rsid w:val="00350ADF"/>
    <w:rsid w:val="00355623"/>
    <w:rsid w:val="00383134"/>
    <w:rsid w:val="003A0419"/>
    <w:rsid w:val="003B2C53"/>
    <w:rsid w:val="003C4D3B"/>
    <w:rsid w:val="003E09EA"/>
    <w:rsid w:val="003E6E6B"/>
    <w:rsid w:val="003F0AC3"/>
    <w:rsid w:val="00442546"/>
    <w:rsid w:val="00442674"/>
    <w:rsid w:val="00456251"/>
    <w:rsid w:val="00483663"/>
    <w:rsid w:val="004C1607"/>
    <w:rsid w:val="004D5BCD"/>
    <w:rsid w:val="005069D8"/>
    <w:rsid w:val="0056162E"/>
    <w:rsid w:val="00563B93"/>
    <w:rsid w:val="00567DB3"/>
    <w:rsid w:val="00576462"/>
    <w:rsid w:val="005A066E"/>
    <w:rsid w:val="005B3434"/>
    <w:rsid w:val="005E2884"/>
    <w:rsid w:val="005E5050"/>
    <w:rsid w:val="005F0711"/>
    <w:rsid w:val="005F2C7B"/>
    <w:rsid w:val="005F4D04"/>
    <w:rsid w:val="005F7DA9"/>
    <w:rsid w:val="006054F8"/>
    <w:rsid w:val="0061345C"/>
    <w:rsid w:val="00650E83"/>
    <w:rsid w:val="0065419A"/>
    <w:rsid w:val="00654220"/>
    <w:rsid w:val="00661034"/>
    <w:rsid w:val="00663B94"/>
    <w:rsid w:val="00677F66"/>
    <w:rsid w:val="006C3E0F"/>
    <w:rsid w:val="006C7F31"/>
    <w:rsid w:val="006E00F0"/>
    <w:rsid w:val="006E4E94"/>
    <w:rsid w:val="00723C78"/>
    <w:rsid w:val="00724DFC"/>
    <w:rsid w:val="007271E2"/>
    <w:rsid w:val="00730BEE"/>
    <w:rsid w:val="0073101E"/>
    <w:rsid w:val="00735153"/>
    <w:rsid w:val="007402CF"/>
    <w:rsid w:val="007418FD"/>
    <w:rsid w:val="00745421"/>
    <w:rsid w:val="007A4219"/>
    <w:rsid w:val="007C20A1"/>
    <w:rsid w:val="0080200C"/>
    <w:rsid w:val="00814110"/>
    <w:rsid w:val="0082561A"/>
    <w:rsid w:val="00846B2E"/>
    <w:rsid w:val="00853290"/>
    <w:rsid w:val="0085663C"/>
    <w:rsid w:val="008768AB"/>
    <w:rsid w:val="00892652"/>
    <w:rsid w:val="008926F7"/>
    <w:rsid w:val="00895A13"/>
    <w:rsid w:val="008A4D6B"/>
    <w:rsid w:val="008A7510"/>
    <w:rsid w:val="008B7536"/>
    <w:rsid w:val="008C78BD"/>
    <w:rsid w:val="008F0FA3"/>
    <w:rsid w:val="00900D90"/>
    <w:rsid w:val="009019E4"/>
    <w:rsid w:val="009354D6"/>
    <w:rsid w:val="009455FC"/>
    <w:rsid w:val="00952CFF"/>
    <w:rsid w:val="00966AEF"/>
    <w:rsid w:val="00970A98"/>
    <w:rsid w:val="009B16E2"/>
    <w:rsid w:val="009C781F"/>
    <w:rsid w:val="009D5296"/>
    <w:rsid w:val="009E6170"/>
    <w:rsid w:val="00A167EC"/>
    <w:rsid w:val="00A33B84"/>
    <w:rsid w:val="00A357C8"/>
    <w:rsid w:val="00A37451"/>
    <w:rsid w:val="00A4484F"/>
    <w:rsid w:val="00A70501"/>
    <w:rsid w:val="00A76D4B"/>
    <w:rsid w:val="00A77C47"/>
    <w:rsid w:val="00A9119C"/>
    <w:rsid w:val="00A965A7"/>
    <w:rsid w:val="00AA4549"/>
    <w:rsid w:val="00AC5144"/>
    <w:rsid w:val="00B03C83"/>
    <w:rsid w:val="00B13014"/>
    <w:rsid w:val="00B17559"/>
    <w:rsid w:val="00B33B19"/>
    <w:rsid w:val="00B404E6"/>
    <w:rsid w:val="00B4360D"/>
    <w:rsid w:val="00B61EA9"/>
    <w:rsid w:val="00B670D1"/>
    <w:rsid w:val="00B74DCA"/>
    <w:rsid w:val="00B76C48"/>
    <w:rsid w:val="00BB4476"/>
    <w:rsid w:val="00BC02E0"/>
    <w:rsid w:val="00BC3903"/>
    <w:rsid w:val="00BE47E0"/>
    <w:rsid w:val="00BF75C8"/>
    <w:rsid w:val="00C1762E"/>
    <w:rsid w:val="00C220C7"/>
    <w:rsid w:val="00C25123"/>
    <w:rsid w:val="00C30A48"/>
    <w:rsid w:val="00C375A7"/>
    <w:rsid w:val="00C62DF8"/>
    <w:rsid w:val="00C640FB"/>
    <w:rsid w:val="00C86754"/>
    <w:rsid w:val="00C95C5E"/>
    <w:rsid w:val="00CB054E"/>
    <w:rsid w:val="00CC52D7"/>
    <w:rsid w:val="00CF4D6A"/>
    <w:rsid w:val="00D201A1"/>
    <w:rsid w:val="00D23AB6"/>
    <w:rsid w:val="00D50309"/>
    <w:rsid w:val="00D51AA9"/>
    <w:rsid w:val="00D7264A"/>
    <w:rsid w:val="00D83B17"/>
    <w:rsid w:val="00D84E43"/>
    <w:rsid w:val="00D870DF"/>
    <w:rsid w:val="00DA56E3"/>
    <w:rsid w:val="00DB0C2F"/>
    <w:rsid w:val="00DB3BF6"/>
    <w:rsid w:val="00DC31CC"/>
    <w:rsid w:val="00DC728A"/>
    <w:rsid w:val="00DD2F3C"/>
    <w:rsid w:val="00DF49F4"/>
    <w:rsid w:val="00E1059D"/>
    <w:rsid w:val="00E122B8"/>
    <w:rsid w:val="00E155DF"/>
    <w:rsid w:val="00E246E1"/>
    <w:rsid w:val="00E25281"/>
    <w:rsid w:val="00E560F1"/>
    <w:rsid w:val="00E944FA"/>
    <w:rsid w:val="00E94B38"/>
    <w:rsid w:val="00E9797A"/>
    <w:rsid w:val="00EA7ABC"/>
    <w:rsid w:val="00EE0436"/>
    <w:rsid w:val="00F1465C"/>
    <w:rsid w:val="00F41324"/>
    <w:rsid w:val="00F544DF"/>
    <w:rsid w:val="00F57C12"/>
    <w:rsid w:val="00F609FD"/>
    <w:rsid w:val="00F859AB"/>
    <w:rsid w:val="00F950D0"/>
    <w:rsid w:val="00F954FD"/>
    <w:rsid w:val="00FA2C26"/>
    <w:rsid w:val="030F2BA7"/>
    <w:rsid w:val="04240CEE"/>
    <w:rsid w:val="065551D3"/>
    <w:rsid w:val="06C37561"/>
    <w:rsid w:val="085041EF"/>
    <w:rsid w:val="0A236A5A"/>
    <w:rsid w:val="0BA075C8"/>
    <w:rsid w:val="0CAB045E"/>
    <w:rsid w:val="0DB423F6"/>
    <w:rsid w:val="10584F82"/>
    <w:rsid w:val="10C60AB9"/>
    <w:rsid w:val="111D4539"/>
    <w:rsid w:val="11651884"/>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C178F4"/>
    <w:rsid w:val="26FD4196"/>
    <w:rsid w:val="28CD1EA7"/>
    <w:rsid w:val="2945121F"/>
    <w:rsid w:val="2986009C"/>
    <w:rsid w:val="29F7636C"/>
    <w:rsid w:val="2C3E59F0"/>
    <w:rsid w:val="32955A2A"/>
    <w:rsid w:val="350229F7"/>
    <w:rsid w:val="36341C31"/>
    <w:rsid w:val="368076E6"/>
    <w:rsid w:val="378F5AE0"/>
    <w:rsid w:val="37F709A6"/>
    <w:rsid w:val="39E872E9"/>
    <w:rsid w:val="39FF2E40"/>
    <w:rsid w:val="3ABE1FB8"/>
    <w:rsid w:val="3C753CC7"/>
    <w:rsid w:val="3F2C3B54"/>
    <w:rsid w:val="40990310"/>
    <w:rsid w:val="436A5E7E"/>
    <w:rsid w:val="44F30C78"/>
    <w:rsid w:val="459870AF"/>
    <w:rsid w:val="45ED49CE"/>
    <w:rsid w:val="46F0109E"/>
    <w:rsid w:val="47475A63"/>
    <w:rsid w:val="4A9729B9"/>
    <w:rsid w:val="4BCA232B"/>
    <w:rsid w:val="4D3A62E3"/>
    <w:rsid w:val="4E276A76"/>
    <w:rsid w:val="506954C1"/>
    <w:rsid w:val="509017BA"/>
    <w:rsid w:val="51482FC3"/>
    <w:rsid w:val="52830253"/>
    <w:rsid w:val="541C469D"/>
    <w:rsid w:val="5617604A"/>
    <w:rsid w:val="5B07655E"/>
    <w:rsid w:val="5BE61B5E"/>
    <w:rsid w:val="5CA05A23"/>
    <w:rsid w:val="5EC71EB3"/>
    <w:rsid w:val="602D020F"/>
    <w:rsid w:val="60EA4BD2"/>
    <w:rsid w:val="62BD595C"/>
    <w:rsid w:val="66507DA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32">
    <w:name w:val="show1"/>
    <w:basedOn w:val="9"/>
    <w:qFormat/>
    <w:uiPriority w:val="0"/>
  </w:style>
  <w:style w:type="paragraph" w:customStyle="1" w:styleId="33">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3779</Words>
  <Characters>5236</Characters>
  <Lines>42</Lines>
  <Paragraphs>11</Paragraphs>
  <ScaleCrop>false</ScaleCrop>
  <LinksUpToDate>false</LinksUpToDate>
  <CharactersWithSpaces>5352</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2020-12-16T03:30:00Z</dcterms:created>
  <dc:creator>总行金融市场部本币投资交易部梅浩超</dc:creator>
  <cp:lastModifiedBy>陈相莉</cp:lastModifiedBy>
  <cp:lastPrinted>2019-09-11T00:56:00Z</cp:lastPrinted>
  <dcterms:modified xsi:type="dcterms:W3CDTF">2024-09-29T06:28:52Z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02D444AF7F41471B8F3F5C1DC56ECDD9_12</vt:lpwstr>
  </property>
</Properties>
</file>